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8" w:name="X284626a81aae314e23a1a65c0761d0736618013"/>
    <w:p>
      <w:pPr>
        <w:pStyle w:val="Heading1"/>
      </w:pPr>
      <w:r>
        <w:t xml:space="preserve">Research Proposal: Advancing the Pharmacist Role in China Shanghai's Healthcare System</w:t>
      </w:r>
    </w:p>
    <w:bookmarkStart w:id="20" w:name="i.-introduction-and-background"/>
    <w:p>
      <w:pPr>
        <w:pStyle w:val="Heading2"/>
      </w:pPr>
      <w:r>
        <w:t xml:space="preserve">I. Introduction and Background</w:t>
      </w:r>
    </w:p>
    <w:p>
      <w:pPr>
        <w:pStyle w:val="FirstParagraph"/>
      </w:pPr>
      <w:r>
        <w:t xml:space="preserve">The evolving healthcare landscape of China Shanghai necessitates a critical reevaluation of the Pharmacist's role within its integrated medical system. As one of the world's largest metropolitan centers with a population exceeding 24 million, Shanghai faces unprecedented challenges in managing chronic diseases, an aging demographic (over 23% aged 60+), and rising patient expectations for personalized care. Despite national healthcare reforms emphasizing "Healthy China 2030," the full potential of the Pharmacist as a clinical healthcare provider remains underutilized in Shanghai's urban setting. This</w:t>
      </w:r>
      <w:r>
        <w:t xml:space="preserve"> </w:t>
      </w:r>
      <w:r>
        <w:rPr>
          <w:bCs/>
          <w:b/>
        </w:rPr>
        <w:t xml:space="preserve">Research Proposal</w:t>
      </w:r>
      <w:r>
        <w:t xml:space="preserve"> </w:t>
      </w:r>
      <w:r>
        <w:t xml:space="preserve">addresses this gap by investigating strategies to optimize Pharmacist contributions within Shanghai's unique public and private healthcare infrastructure, directly aligning with China's national priorities for medical service enhancement.</w:t>
      </w:r>
    </w:p>
    <w:bookmarkEnd w:id="20"/>
    <w:bookmarkStart w:id="21" w:name="ii.-problem-statement"/>
    <w:p>
      <w:pPr>
        <w:pStyle w:val="Heading2"/>
      </w:pPr>
      <w:r>
        <w:t xml:space="preserve">II. Problem Statement</w:t>
      </w:r>
    </w:p>
    <w:p>
      <w:pPr>
        <w:pStyle w:val="FirstParagraph"/>
      </w:pPr>
      <w:r>
        <w:t xml:space="preserve">In China Shanghai, pharmacists primarily function in dispensing roles at hospitals and community pharmacies, with limited scope for clinical intervention. This contrasts sharply with global best practices where Pharmacists lead medication therapy management (MTM), chronic disease monitoring, and patient education. A 2023 Shanghai Health Commission report indicates that only 18% of pharmacists engage in clinical activities beyond dispensing, while patient satisfaction surveys reveal 65% express interest in pharmacist-led consultations for diabetes or hypertension management. The current model contributes to medication mismanagement (estimated at 27% of hospital readmissions linked to drug-related issues) and fails to leverage Shanghai's advanced healthcare IT infrastructure. This research directly confronts the systemic underutilization of the Pharmacist, a critical human resource in China Shanghai's journey toward high-quality, patient-centered care.</w:t>
      </w:r>
    </w:p>
    <w:bookmarkEnd w:id="21"/>
    <w:bookmarkStart w:id="22" w:name="iii.-literature-review-and-knowledge-gap"/>
    <w:p>
      <w:pPr>
        <w:pStyle w:val="Heading2"/>
      </w:pPr>
      <w:r>
        <w:t xml:space="preserve">III. Literature Review and Knowledge Gap</w:t>
      </w:r>
    </w:p>
    <w:p>
      <w:pPr>
        <w:pStyle w:val="FirstParagraph"/>
      </w:pPr>
      <w:r>
        <w:t xml:space="preserve">Existing literature on pharmacy practice in China focuses on regulatory frameworks (e.g., the 2019 National Pharmacist Practice Regulations) but lacks granular analysis of implementation challenges in megacities like Shanghai. International studies from Singapore or Canada demonstrate that expanding the Pharmacist's clinical role reduces hospitalizations by 15-20% and improves medication adherence. However, these models are not directly transferable due to China's distinct healthcare financing, cultural patient-provider dynamics, and regional policy variations. Crucially, no comprehensive study has examined the specific barriers—such as workflow integration in Shanghai hospitals, reimbursement mechanisms for clinical services (e.g., lack of insurance coverage), or pharmacist training gaps—to Pharmacist-led care within China's Shanghai context. This</w:t>
      </w:r>
      <w:r>
        <w:t xml:space="preserve"> </w:t>
      </w:r>
      <w:r>
        <w:rPr>
          <w:bCs/>
          <w:b/>
        </w:rPr>
        <w:t xml:space="preserve">Research Proposal</w:t>
      </w:r>
      <w:r>
        <w:t xml:space="preserve"> </w:t>
      </w:r>
      <w:r>
        <w:t xml:space="preserve">bridges this critical knowledge gap.</w:t>
      </w:r>
    </w:p>
    <w:bookmarkEnd w:id="22"/>
    <w:bookmarkStart w:id="23" w:name="iv.-research-objectives"/>
    <w:p>
      <w:pPr>
        <w:pStyle w:val="Heading2"/>
      </w:pPr>
      <w:r>
        <w:t xml:space="preserve">IV. Research Objectives</w:t>
      </w:r>
    </w:p>
    <w:p>
      <w:pPr>
        <w:numPr>
          <w:ilvl w:val="0"/>
          <w:numId w:val="1001"/>
        </w:numPr>
        <w:pStyle w:val="Compact"/>
      </w:pPr>
      <w:r>
        <w:t xml:space="preserve">To assess the current scope, competencies, and workflow integration of the Pharmacist in Shanghai’s tertiary hospitals (n=15) and community pharmacies (n=30).</w:t>
      </w:r>
    </w:p>
    <w:p>
      <w:pPr>
        <w:numPr>
          <w:ilvl w:val="0"/>
          <w:numId w:val="1001"/>
        </w:numPr>
        <w:pStyle w:val="Compact"/>
      </w:pPr>
      <w:r>
        <w:t xml:space="preserve">To identify systemic barriers (regulatory, financial, educational) preventing expanded clinical roles for the Pharmacist across China Shanghai.</w:t>
      </w:r>
    </w:p>
    <w:p>
      <w:pPr>
        <w:numPr>
          <w:ilvl w:val="0"/>
          <w:numId w:val="1001"/>
        </w:numPr>
        <w:pStyle w:val="Compact"/>
      </w:pPr>
      <w:r>
        <w:t xml:space="preserve">To co-develop with Shanghai healthcare policymakers a scalable framework for integrating Pharmacist-led MTM services into primary care networks.</w:t>
      </w:r>
    </w:p>
    <w:p>
      <w:pPr>
        <w:numPr>
          <w:ilvl w:val="0"/>
          <w:numId w:val="1001"/>
        </w:numPr>
        <w:pStyle w:val="Compact"/>
      </w:pPr>
      <w:r>
        <w:t xml:space="preserve">To evaluate patient and physician perceptions of pharmacist clinical services in Shanghai’s urban environment.</w:t>
      </w:r>
    </w:p>
    <w:bookmarkEnd w:id="23"/>
    <w:bookmarkStart w:id="24" w:name="v.-methodology"/>
    <w:p>
      <w:pPr>
        <w:pStyle w:val="Heading2"/>
      </w:pPr>
      <w:r>
        <w:t xml:space="preserve">V. Methodology</w:t>
      </w:r>
    </w:p>
    <w:p>
      <w:pPr>
        <w:pStyle w:val="FirstParagraph"/>
      </w:pPr>
      <w:r>
        <w:t xml:space="preserve">This mixed-methods study will employ a sequential design over 18 months, fully embedded within China Shanghai’s healthcare ecosystem. Phase 1 (6 months) involves quantitative surveys of 450 pharmacists across Shanghai’s public hospital network and community pharmacies (using stratified random sampling), supplemented by semi-structured interviews with key stakeholders (hospital administrators, policymakers from the Shanghai Bureau of Health). Phase 2 (9 months) will implement a pilot intervention in three diverse Shanghai districts (Pudong, Xuhui, Baoshan), training 30 pharmacists in MTM protocols and tracking clinical outcomes for 500 patients with chronic conditions. Phase 3 (3 months) focuses on co-designing policy recommendations with the Shanghai Municipal Health Commission. All data collection will comply strictly with China’s Personal Information Protection Law and receive ethics approval from Fudan University School of Pharmacy, a leading institution in China Shanghai.</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actionable evidence to transform the Pharmacist’s role in China Shanghai. Key outcomes include: (1) A validated barrier-mapping tool specific to Shanghai's healthcare system, (2) A pilot program demonstrating a 25% increase in patient medication adherence and 15% reduction in avoidable hospital visits for chronic conditions, and (3) A policy brief proposing revised reimbursement models for pharmacist clinical services endorsed by Shanghai’s Health Commission. The significance extends beyond Shanghai: findings will provide a replicable model for other Chinese cities advancing under the "Healthy China" initiative. Crucially, this research empowers the Pharmacist as a solution to systemic challenges—reducing healthcare costs, enhancing patient safety, and fulfilling China's commitment to equitable, high-value care. For Shanghai specifically, it positions the city as a national leader in innovative pharmaceutical services within China’s evolving medical landscape.</w:t>
      </w:r>
    </w:p>
    <w:bookmarkEnd w:id="25"/>
    <w:bookmarkStart w:id="26" w:name="vii.-project-timeline-and-budget-summary"/>
    <w:p>
      <w:pPr>
        <w:pStyle w:val="Heading2"/>
      </w:pPr>
      <w:r>
        <w:t xml:space="preserve">VII. Project Timeline and Budget Summary</w:t>
      </w:r>
    </w:p>
    <w:p>
      <w:pPr>
        <w:pStyle w:val="FirstParagraph"/>
      </w:pPr>
      <w:r>
        <w:t xml:space="preserve">Year 1: Literature review, stakeholder engagement, survey design (Months 1-4), Data collection (Months 5-10), Preliminary analysis (Month 11).</w:t>
      </w:r>
      <w:r>
        <w:t xml:space="preserve"> </w:t>
      </w:r>
      <w:r>
        <w:t xml:space="preserve">Year 2: Pilot implementation, outcome measurement (Months 13-20), Policy co-design workshops (Month 21), Final report and dissemination (Month 24).</w:t>
      </w:r>
      <w:r>
        <w:t xml:space="preserve"> </w:t>
      </w:r>
      <w:r>
        <w:t xml:space="preserve">Budget: Total request of ¥8.5 million (~$1.2 million USD) covering personnel, technology for Shanghai healthcare data integration, patient recruitment incentives compliant with Chinese regulations, and policy engagement activities.</w:t>
      </w:r>
    </w:p>
    <w:bookmarkEnd w:id="26"/>
    <w:bookmarkStart w:id="27" w:name="viii.-conclusion"/>
    <w:p>
      <w:pPr>
        <w:pStyle w:val="Heading2"/>
      </w:pPr>
      <w:r>
        <w:t xml:space="preserve">VIII. Conclusion</w:t>
      </w:r>
    </w:p>
    <w:p>
      <w:pPr>
        <w:pStyle w:val="FirstParagraph"/>
      </w:pPr>
      <w:r>
        <w:t xml:space="preserve">As China Shanghai advances toward its vision of a "Smart City" for health, the Pharmacist is not merely a support staff member but an essential clinician whose expanded role can drive systemic efficiency and patient outcomes. This</w:t>
      </w:r>
      <w:r>
        <w:t xml:space="preserve"> </w:t>
      </w:r>
      <w:r>
        <w:rPr>
          <w:bCs/>
          <w:b/>
        </w:rPr>
        <w:t xml:space="preserve">Research Proposal</w:t>
      </w:r>
      <w:r>
        <w:t xml:space="preserve"> </w:t>
      </w:r>
      <w:r>
        <w:t xml:space="preserve">offers a pragmatic, evidence-based pathway to unlock that potential. By centering our study on Shanghai's unique urban healthcare ecosystem—the epicenter of China's medical innovation—we ensure findings are immediately applicable, scalable, and aligned with national priorities. The successful implementation of this research will redefine the Pharmacist as a cornerstone of modern healthcare delivery in China Shanghai and serve as a blueprint for pharmaceutical care transformation across the nation. The time to harness this human resource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China Shanghai's Healthcare System</dc:title>
  <dc:creator/>
  <dc:language>en</dc:language>
  <cp:keywords/>
  <dcterms:created xsi:type="dcterms:W3CDTF">2026-07-23T01:55:44Z</dcterms:created>
  <dcterms:modified xsi:type="dcterms:W3CDTF">2026-07-23T01:55:44Z</dcterms:modified>
</cp:coreProperties>
</file>

<file path=docProps/custom.xml><?xml version="1.0" encoding="utf-8"?>
<Properties xmlns="http://schemas.openxmlformats.org/officeDocument/2006/custom-properties" xmlns:vt="http://schemas.openxmlformats.org/officeDocument/2006/docPropsVTypes"/>
</file>