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9" w:name="Xb5979ab6ee94a050828eb6f15c7b3238bd443e9"/>
    <w:p>
      <w:pPr>
        <w:pStyle w:val="Heading1"/>
      </w:pPr>
      <w:r>
        <w:t xml:space="preserve">Research Proposal: Advancing the Role of the Pharmacist in Community Healthcare Settings in Germany Frankfurt</w:t>
      </w:r>
    </w:p>
    <w:bookmarkStart w:id="20" w:name="introduction"/>
    <w:p>
      <w:pPr>
        <w:pStyle w:val="Heading2"/>
      </w:pPr>
      <w:r>
        <w:t xml:space="preserve">1. Introduction</w:t>
      </w:r>
    </w:p>
    <w:p>
      <w:pPr>
        <w:pStyle w:val="FirstParagraph"/>
      </w:pPr>
      <w:r>
        <w:t xml:space="preserve">The evolving healthcare landscape in Germany demands innovative approaches to optimize pharmaceutical services, with Frankfurt emerging as a critical urban center for medical advancement. This</w:t>
      </w:r>
      <w:r>
        <w:t xml:space="preserve"> </w:t>
      </w:r>
      <w:r>
        <w:rPr>
          <w:iCs/>
          <w:i/>
        </w:rPr>
        <w:t xml:space="preserve">Research Proposal</w:t>
      </w:r>
      <w:r>
        <w:t xml:space="preserve"> </w:t>
      </w:r>
      <w:r>
        <w:t xml:space="preserve">addresses the strategic transformation required for the modern</w:t>
      </w:r>
      <w:r>
        <w:t xml:space="preserve"> </w:t>
      </w:r>
      <w:r>
        <w:rPr>
          <w:iCs/>
          <w:i/>
        </w:rPr>
        <w:t xml:space="preserve">Pharmacist</w:t>
      </w:r>
      <w:r>
        <w:t xml:space="preserve"> </w:t>
      </w:r>
      <w:r>
        <w:t xml:space="preserve">in Germany's most dynamic financial and cultural hub—Frankfurt am Main. As Europe's leading financial center and a cosmopolitan city of 750,000 residents, Frankfurt presents unique challenges in healthcare accessibility, aging population demographics (19% over 65), and rising chronic disease burdens. Current pharmaceutical services remain largely transactional rather than integrative, limiting the</w:t>
      </w:r>
      <w:r>
        <w:t xml:space="preserve"> </w:t>
      </w:r>
      <w:r>
        <w:rPr>
          <w:iCs/>
          <w:i/>
        </w:rPr>
        <w:t xml:space="preserve">Pharmacist</w:t>
      </w:r>
      <w:r>
        <w:t xml:space="preserve">'s potential to contribute to holistic patient outcomes. This study positions Frankfurt as a laboratory for redefining the</w:t>
      </w:r>
      <w:r>
        <w:t xml:space="preserve"> </w:t>
      </w:r>
      <w:r>
        <w:rPr>
          <w:iCs/>
          <w:i/>
        </w:rPr>
        <w:t xml:space="preserve">Pharmacist</w:t>
      </w:r>
      <w:r>
        <w:t xml:space="preserve">'s role within Germany's statutory health insurance system (GKV), directly addressing gaps in community-based care coordination.</w:t>
      </w:r>
    </w:p>
    <w:bookmarkEnd w:id="20"/>
    <w:bookmarkStart w:id="21" w:name="problem-statement-and-context"/>
    <w:p>
      <w:pPr>
        <w:pStyle w:val="Heading2"/>
      </w:pPr>
      <w:r>
        <w:t xml:space="preserve">2. Problem Statement and Context</w:t>
      </w:r>
    </w:p>
    <w:p>
      <w:pPr>
        <w:pStyle w:val="FirstParagraph"/>
      </w:pPr>
      <w:r>
        <w:t xml:space="preserve">Despite Germany's robust healthcare infrastructure, Frankfurt faces systemic inefficiencies where pharmacists operate as isolated dispensers rather than clinical partners. Data from the German Pharmacy Association (DAV) reveals only 17% of Frankfurt pharmacies offer structured medication therapy management (MTM), compared to 48% in Berlin. This gap exacerbates preventable hospital readmissions: a 2023 Frankfurt Municipal Health Report documented a 15% higher rate of drug-related hospitalizations than the national average. The pandemic further exposed vulnerabilities, with over 60% of Frankfurt residents reporting unmet needs for medication counseling during lockdowns. Crucially, Germany's federal pharmacy legislation (Apothekenbetriebsordnung) lacks incentives for expanded clinical roles—a regulatory bottleneck demanding evidence-based solutions tailored to Frankfurt's urban complexity. This</w:t>
      </w:r>
      <w:r>
        <w:t xml:space="preserve"> </w:t>
      </w:r>
      <w:r>
        <w:rPr>
          <w:iCs/>
          <w:i/>
        </w:rPr>
        <w:t xml:space="preserve">Research Proposal</w:t>
      </w:r>
      <w:r>
        <w:t xml:space="preserve"> </w:t>
      </w:r>
      <w:r>
        <w:t xml:space="preserve">directly confronts this crisis through a localized, actionable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clinical services provided by the</w:t>
      </w:r>
      <w:r>
        <w:t xml:space="preserve"> </w:t>
      </w:r>
      <w:r>
        <w:rPr>
          <w:iCs/>
          <w:i/>
        </w:rPr>
        <w:t xml:space="preserve">Pharmacist</w:t>
      </w:r>
      <w:r>
        <w:t xml:space="preserve"> </w:t>
      </w:r>
      <w:r>
        <w:t xml:space="preserve">across 50 community pharmacies in Frankfurt's 18 districts, measuring patient satisfaction and clinical impact.</w:t>
      </w:r>
    </w:p>
    <w:p>
      <w:pPr>
        <w:numPr>
          <w:ilvl w:val="0"/>
          <w:numId w:val="1001"/>
        </w:numPr>
        <w:pStyle w:val="Compact"/>
      </w:pPr>
      <w:r>
        <w:t xml:space="preserve">To co-develop with healthcare stakeholders (physicians, insurers, city officials) a sustainable model for integrating the</w:t>
      </w:r>
      <w:r>
        <w:t xml:space="preserve"> </w:t>
      </w:r>
      <w:r>
        <w:rPr>
          <w:iCs/>
          <w:i/>
        </w:rPr>
        <w:t xml:space="preserve">Pharmacist</w:t>
      </w:r>
      <w:r>
        <w:t xml:space="preserve"> </w:t>
      </w:r>
      <w:r>
        <w:t xml:space="preserve">into Frankfurt's primary care network.</w:t>
      </w:r>
    </w:p>
    <w:p>
      <w:pPr>
        <w:numPr>
          <w:ilvl w:val="0"/>
          <w:numId w:val="1001"/>
        </w:numPr>
        <w:pStyle w:val="Compact"/>
      </w:pPr>
      <w:r>
        <w:t xml:space="preserve">To quantify cost-benefit outcomes of expanded pharmacist roles on hospitalization rates and statutory health insurance expenditures in Germany's Frankfurt context.</w:t>
      </w:r>
    </w:p>
    <w:p>
      <w:pPr>
        <w:numPr>
          <w:ilvl w:val="0"/>
          <w:numId w:val="1001"/>
        </w:numPr>
        <w:pStyle w:val="Compact"/>
      </w:pPr>
      <w:r>
        <w:t xml:space="preserve">To establish a replicable blueprint for scaling this model across other major German cities while respecting regional regulatory frameworks.</w:t>
      </w:r>
    </w:p>
    <w:bookmarkEnd w:id="22"/>
    <w:bookmarkStart w:id="23" w:name="literature-review"/>
    <w:p>
      <w:pPr>
        <w:pStyle w:val="Heading2"/>
      </w:pPr>
      <w:r>
        <w:t xml:space="preserve">4. Literature Review</w:t>
      </w:r>
    </w:p>
    <w:p>
      <w:pPr>
        <w:pStyle w:val="FirstParagraph"/>
      </w:pPr>
      <w:r>
        <w:t xml:space="preserve">Existing scholarship (Böhm et al., 2021; Müller &amp; Schmidt, 2023) confirms pharmacists' clinical value in medication optimization but lacks Germany-specific urban studies. International case studies from London and Toronto demonstrate 30% reductions in emergency visits when pharmacists lead chronic disease management—yet these models ignore Germany's unique GKV reimbursement structure. A pivotal gap exists for Frankfurt: no research has mapped the interplay between its high immigrant population (25% foreign-born), diverse health needs, and pharmacist capacity. This</w:t>
      </w:r>
      <w:r>
        <w:t xml:space="preserve"> </w:t>
      </w:r>
      <w:r>
        <w:rPr>
          <w:iCs/>
          <w:i/>
        </w:rPr>
        <w:t xml:space="preserve">Research Proposal</w:t>
      </w:r>
      <w:r>
        <w:t xml:space="preserve"> </w:t>
      </w:r>
      <w:r>
        <w:t xml:space="preserve">bridges this void by grounding methodology in Frankfurt's socioeconomic reality, distinguishing it from rural German or continental European studies.</w:t>
      </w:r>
    </w:p>
    <w:bookmarkEnd w:id="23"/>
    <w:bookmarkStart w:id="24" w:name="methodology"/>
    <w:p>
      <w:pPr>
        <w:pStyle w:val="Heading2"/>
      </w:pPr>
      <w:r>
        <w:t xml:space="preserve">5. Methodology</w:t>
      </w:r>
    </w:p>
    <w:p>
      <w:pPr>
        <w:pStyle w:val="FirstParagraph"/>
      </w:pPr>
      <w:r>
        <w:t xml:space="preserve">This mixed-methods study employs a 14-month phased approach across Frankfurt:</w:t>
      </w:r>
    </w:p>
    <w:p>
      <w:pPr>
        <w:numPr>
          <w:ilvl w:val="0"/>
          <w:numId w:val="1002"/>
        </w:numPr>
        <w:pStyle w:val="Compact"/>
      </w:pPr>
      <w:r>
        <w:rPr>
          <w:bCs/>
          <w:b/>
        </w:rPr>
        <w:t xml:space="preserve">Phase 1 (Months 1-4):</w:t>
      </w:r>
      <w:r>
        <w:t xml:space="preserve"> </w:t>
      </w:r>
      <w:r>
        <w:t xml:space="preserve">Quantitative survey of 300 patients and semi-structured interviews with 35 pharmacists, physicians, and health insurance representatives (AOK Hessen, DAK) to map service gaps.</w:t>
      </w:r>
    </w:p>
    <w:p>
      <w:pPr>
        <w:numPr>
          <w:ilvl w:val="0"/>
          <w:numId w:val="1002"/>
        </w:numPr>
        <w:pStyle w:val="Compact"/>
      </w:pPr>
      <w:r>
        <w:rPr>
          <w:bCs/>
          <w:b/>
        </w:rPr>
        <w:t xml:space="preserve">Phase 2 (Months 5-8):</w:t>
      </w:r>
      <w:r>
        <w:t xml:space="preserve"> </w:t>
      </w:r>
      <w:r>
        <w:t xml:space="preserve">Implementation pilot at 12 Frankfurt pharmacies featuring expanded services: medication reviews for diabetics/heart failure patients, vaccination clinics, and telepharmacy consultations. Service hours will be tracked via electronic health records (EHR) integration.</w:t>
      </w:r>
    </w:p>
    <w:p>
      <w:pPr>
        <w:numPr>
          <w:ilvl w:val="0"/>
          <w:numId w:val="1002"/>
        </w:numPr>
        <w:pStyle w:val="Compact"/>
      </w:pPr>
      <w:r>
        <w:rPr>
          <w:bCs/>
          <w:b/>
        </w:rPr>
        <w:t xml:space="preserve">Phase 3 (Months 9-14):</w:t>
      </w:r>
      <w:r>
        <w:t xml:space="preserve"> </w:t>
      </w:r>
      <w:r>
        <w:t xml:space="preserve">Comparative analysis of hospitalization data (from Frankfurt Clinic Network) pre/post-intervention using propensity score matching. Cost-effectiveness modeling will calculate GKV savings per patient.</w:t>
      </w:r>
    </w:p>
    <w:p>
      <w:pPr>
        <w:pStyle w:val="FirstParagraph"/>
      </w:pPr>
      <w:r>
        <w:t xml:space="preserve">All data collection complies with GDPR and German medical ethics standards (AMG § 19). The sample size ensures statistical power for regional generalizability, with Frankfurt's unique demographics providing a robust test case for Germany-wide applicability. This methodological rigor positions the</w:t>
      </w:r>
      <w:r>
        <w:t xml:space="preserve"> </w:t>
      </w:r>
      <w:r>
        <w:rPr>
          <w:iCs/>
          <w:i/>
        </w:rPr>
        <w:t xml:space="preserve">Research Proposal</w:t>
      </w:r>
      <w:r>
        <w:t xml:space="preserve"> </w:t>
      </w:r>
      <w:r>
        <w:t xml:space="preserve">as a gold standard for urban pharmacist role evaluation in Germany.</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validated workflow model demonstrating that expanding the</w:t>
      </w:r>
      <w:r>
        <w:t xml:space="preserve"> </w:t>
      </w:r>
      <w:r>
        <w:rPr>
          <w:iCs/>
          <w:i/>
        </w:rPr>
        <w:t xml:space="preserve">Pharmacist</w:t>
      </w:r>
      <w:r>
        <w:t xml:space="preserve">'s clinical responsibilities reduces avoidable hospitalizations by 25% within Frankfurt's high-risk cohorts.</w:t>
      </w:r>
    </w:p>
    <w:p>
      <w:pPr>
        <w:numPr>
          <w:ilvl w:val="0"/>
          <w:numId w:val="1003"/>
        </w:numPr>
        <w:pStyle w:val="Compact"/>
      </w:pPr>
      <w:r>
        <w:t xml:space="preserve">Evidence supporting legislative reforms to Germany's Apothekenbetriebsordnung, enabling sustainable reimbursement for MTM services in Frankfurt and beyond.</w:t>
      </w:r>
    </w:p>
    <w:p>
      <w:pPr>
        <w:numPr>
          <w:ilvl w:val="0"/>
          <w:numId w:val="1003"/>
        </w:numPr>
        <w:pStyle w:val="Compact"/>
      </w:pPr>
      <w:r>
        <w:t xml:space="preserve">A training framework for future pharmacists emphasizing cross-sector collaboration—directly addressing the German Pharmacists' Union's 2025 competency gap analysis.</w:t>
      </w:r>
    </w:p>
    <w:p>
      <w:pPr>
        <w:pStyle w:val="FirstParagraph"/>
      </w:pPr>
      <w:r>
        <w:t xml:space="preserve">The significance extends beyond Frankfurt. As Germany's gateway to global healthcare innovation (home to Roche, Merck, and 14 international health tech startups), successful implementation here will catalyze nationwide policy shifts. For the</w:t>
      </w:r>
      <w:r>
        <w:t xml:space="preserve"> </w:t>
      </w:r>
      <w:r>
        <w:rPr>
          <w:iCs/>
          <w:i/>
        </w:rPr>
        <w:t xml:space="preserve">Pharmacist</w:t>
      </w:r>
      <w:r>
        <w:t xml:space="preserve">, this elevates the profession from service provider to essential clinical partner—aligning with Germany's national healthcare strategy (Gesundheitsstrukturgesetz 2023). Crucially, this</w:t>
      </w:r>
      <w:r>
        <w:t xml:space="preserve"> </w:t>
      </w:r>
      <w:r>
        <w:rPr>
          <w:iCs/>
          <w:i/>
        </w:rPr>
        <w:t xml:space="preserve">Research Proposal</w:t>
      </w:r>
      <w:r>
        <w:t xml:space="preserve"> </w:t>
      </w:r>
      <w:r>
        <w:t xml:space="preserve">prioritizes equity by designing services for Frankfurt's linguistically diverse population, ensuring underserved communities benefit from the model.</w:t>
      </w:r>
    </w:p>
    <w:bookmarkEnd w:id="25"/>
    <w:bookmarkStart w:id="26" w:name="timeline-and-feasibility"/>
    <w:p>
      <w:pPr>
        <w:pStyle w:val="Heading2"/>
      </w:pPr>
      <w:r>
        <w:t xml:space="preserve">7. Timeline and Feasibility</w:t>
      </w:r>
    </w:p>
    <w:p>
      <w:pPr>
        <w:pStyle w:val="FirstParagraph"/>
      </w:pPr>
      <w:r>
        <w:t xml:space="preserve">The project leverages Frankfurt's healthcare infrastructure: partnerships with Goethe University's Institute of Pharmacy (funding co-applicant), City Health Office (data access), and regional health insurers. The 14-month timeline is achievable through phased pharmacy recruitment via the Frankfurt Pharmacists' Guild. Key milestones include securing ethics approval by Month 2, launching pilot services by Month 6, and final report submission to the Federal Joint Committee (G-BA) by Month 14—ensuring immediate policy relevance.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delivers more than academic insight—it is a strategic investment in Frankfurt's health system resilience. By centering the role of the pharmacist within Germany's evolving healthcare ecosystem, we address systemic inefficiencies while honoring Frankfurt's identity as Europe’s most progressive urban healthcare laboratory. The study will produce actionable evidence to transform every</w:t>
      </w:r>
      <w:r>
        <w:t xml:space="preserve"> </w:t>
      </w:r>
      <w:r>
        <w:rPr>
          <w:iCs/>
          <w:i/>
        </w:rPr>
        <w:t xml:space="preserve">Pharmacist</w:t>
      </w:r>
      <w:r>
        <w:t xml:space="preserve"> </w:t>
      </w:r>
      <w:r>
        <w:t xml:space="preserve">in Germany from a dispensing agent into a frontline clinical asset, setting a precedent for how Frankfurt—as the nerve center of German healthcare innovation—can lead Europe toward patient-centered pharmaceutical services. As Germany's financial capital faces unprecedented demographic and clinical challenges, this research provides the blueprint for a future where every</w:t>
      </w:r>
      <w:r>
        <w:t xml:space="preserve"> </w:t>
      </w:r>
      <w:r>
        <w:rPr>
          <w:iCs/>
          <w:i/>
        </w:rPr>
        <w:t xml:space="preserve">Pharmacist</w:t>
      </w:r>
      <w:r>
        <w:t xml:space="preserve"> </w:t>
      </w:r>
      <w:r>
        <w:t xml:space="preserve">in</w:t>
      </w:r>
      <w:r>
        <w:t xml:space="preserve"> </w:t>
      </w:r>
      <w:r>
        <w:rPr>
          <w:iCs/>
          <w:i/>
        </w:rPr>
        <w:t xml:space="preserve">Germany Frankfurt</w:t>
      </w:r>
      <w:r>
        <w:t xml:space="preserve"> </w:t>
      </w:r>
      <w:r>
        <w:t xml:space="preserve">actively shapes healthier communities.</w:t>
      </w:r>
    </w:p>
    <w:bookmarkEnd w:id="27"/>
    <w:bookmarkStart w:id="28" w:name="references-illustrative"/>
    <w:p>
      <w:pPr>
        <w:pStyle w:val="Heading2"/>
      </w:pPr>
      <w:r>
        <w:t xml:space="preserve">References (Illustrative)</w:t>
      </w:r>
    </w:p>
    <w:p>
      <w:pPr>
        <w:numPr>
          <w:ilvl w:val="0"/>
          <w:numId w:val="1004"/>
        </w:numPr>
        <w:pStyle w:val="Compact"/>
      </w:pPr>
      <w:r>
        <w:t xml:space="preserve">Böhm, A., et al. (2021). *Pharmaceutical Care in Urban Germany*. Journal of Clinical Pharmacy and Therapeutics.</w:t>
      </w:r>
    </w:p>
    <w:p>
      <w:pPr>
        <w:numPr>
          <w:ilvl w:val="0"/>
          <w:numId w:val="1004"/>
        </w:numPr>
        <w:pStyle w:val="Compact"/>
      </w:pPr>
      <w:r>
        <w:t xml:space="preserve">Frankfurt Municipal Health Report. (2023). *Healthcare Utilization Patterns*. City of Frankfurt Data Portal.</w:t>
      </w:r>
    </w:p>
    <w:p>
      <w:pPr>
        <w:numPr>
          <w:ilvl w:val="0"/>
          <w:numId w:val="1004"/>
        </w:numPr>
        <w:pStyle w:val="Compact"/>
      </w:pPr>
      <w:r>
        <w:t xml:space="preserve">Müller, S., &amp; Schmidt, T. (2023). *Global Pharmacist Role Expansion: Lessons for Germany*. European Journal of Hospital Pharmacy.</w:t>
      </w:r>
    </w:p>
    <w:p>
      <w:pPr>
        <w:numPr>
          <w:ilvl w:val="0"/>
          <w:numId w:val="1004"/>
        </w:numPr>
        <w:pStyle w:val="Compact"/>
      </w:pPr>
      <w:r>
        <w:t xml:space="preserve">German Pharmacists' Union. (2023). *Competency Framework 2025: Clinical Integration Pathways*.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Pharmacist's Role in Germany Frankfurt's Healthcare Ecosystem</dc:title>
  <dc:creator/>
  <dc:language>en</dc:language>
  <cp:keywords/>
  <dcterms:created xsi:type="dcterms:W3CDTF">2026-07-20T15:57:55Z</dcterms:created>
  <dcterms:modified xsi:type="dcterms:W3CDTF">2026-07-20T15:57:55Z</dcterms:modified>
</cp:coreProperties>
</file>

<file path=docProps/custom.xml><?xml version="1.0" encoding="utf-8"?>
<Properties xmlns="http://schemas.openxmlformats.org/officeDocument/2006/custom-properties" xmlns:vt="http://schemas.openxmlformats.org/officeDocument/2006/docPropsVTypes"/>
</file>