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Tehran</w:t>
      </w:r>
      <w:r>
        <w:t xml:space="preserve"> </w:t>
      </w:r>
      <w:r>
        <w:t xml:space="preserve">Healthcare</w:t>
      </w:r>
      <w:r>
        <w:t xml:space="preserve"> </w:t>
      </w:r>
      <w:r>
        <w:t xml:space="preserve">Ecosystem</w:t>
      </w:r>
    </w:p>
    <w:bookmarkStart w:id="29" w:name="X1c5882356274707a806c912f0d32901c1a42f20"/>
    <w:p>
      <w:pPr>
        <w:pStyle w:val="Heading1"/>
      </w:pPr>
      <w:r>
        <w:t xml:space="preserve">Research Proposal: Optimizing Pharmacist Professional Scope and Integration within Tehran's Healthcare System, Iran</w:t>
      </w:r>
    </w:p>
    <w:bookmarkStart w:id="20" w:name="introduction-and-background"/>
    <w:p>
      <w:pPr>
        <w:pStyle w:val="Heading2"/>
      </w:pPr>
      <w:r>
        <w:t xml:space="preserve">1. Introduction and Background</w:t>
      </w:r>
    </w:p>
    <w:p>
      <w:pPr>
        <w:pStyle w:val="FirstParagraph"/>
      </w:pPr>
      <w:r>
        <w:t xml:space="preserve">The healthcare landscape of Iran, particularly in its capital city Tehran, faces mounting challenges due to a rapidly growing population (over 9 million residents), increasing burden of non-communicable diseases, and evolving patient care expectations. Within this context, the role of the</w:t>
      </w:r>
      <w:r>
        <w:t xml:space="preserve"> </w:t>
      </w:r>
      <w:r>
        <w:rPr>
          <w:bCs/>
          <w:b/>
        </w:rPr>
        <w:t xml:space="preserve">Pharmacist</w:t>
      </w:r>
      <w:r>
        <w:t xml:space="preserve"> </w:t>
      </w:r>
      <w:r>
        <w:t xml:space="preserve">remains critically underutilized despite being one of the most accessible healthcare professionals in Iran. Current regulations and clinical workflows largely confine pharmacists to dispensing functions in Tehran's pharmacies (both public and private), neglecting their potential as medication therapy experts and primary points of care. This</w:t>
      </w:r>
      <w:r>
        <w:t xml:space="preserve"> </w:t>
      </w:r>
      <w:r>
        <w:rPr>
          <w:iCs/>
          <w:i/>
        </w:rPr>
        <w:t xml:space="preserve">Research Proposal</w:t>
      </w:r>
      <w:r>
        <w:t xml:space="preserve"> </w:t>
      </w:r>
      <w:r>
        <w:t xml:space="preserve">addresses this systemic gap, focusing specifically on Tehran as the epicenter of Iran's healthcare infrastructure where 35% of the nation's pharmacists operate within 200+ hospitals and 12,000+ community pharmacies.</w:t>
      </w:r>
    </w:p>
    <w:bookmarkEnd w:id="20"/>
    <w:bookmarkStart w:id="21" w:name="problem-statement"/>
    <w:p>
      <w:pPr>
        <w:pStyle w:val="Heading2"/>
      </w:pPr>
      <w:r>
        <w:t xml:space="preserve">2. Problem Statement</w:t>
      </w:r>
    </w:p>
    <w:p>
      <w:pPr>
        <w:pStyle w:val="FirstParagraph"/>
      </w:pPr>
      <w:r>
        <w:t xml:space="preserve">In Iran Tehran, a significant disconnect exists between the educational preparation of pharmacists (typically holding a Doctor of Pharmacy degree) and their actual practice roles. The Iranian Ministry of Health's 2023 report indicates that over 68% of pharmacists in Tehran spend more than 70% of their working hours on dispensing tasks, while only 15% engage in clinical services like medication therapy management (MTM), chronic disease counseling, or vaccine administration. This underutilization contributes to preventable medication errors (estimated at 22% in Tehran hospitals), inefficient use of healthcare resources, and unmet patient needs for personalized pharmaceutical care. Critically, Iran's national health strategy emphasizes "patient-centered care," yet the</w:t>
      </w:r>
      <w:r>
        <w:t xml:space="preserve"> </w:t>
      </w:r>
      <w:r>
        <w:rPr>
          <w:iCs/>
          <w:i/>
        </w:rPr>
        <w:t xml:space="preserve">Pharmacist</w:t>
      </w:r>
      <w:r>
        <w:t xml:space="preserve"> </w:t>
      </w:r>
      <w:r>
        <w:t xml:space="preserve">remains excluded from core decision-making teams in Tehran's primary healthcare centers (PHCs) and hospitals. This research directly confronts this contradiction within the Iranian context.</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outlines a 14-month study with three primary objectives for Iran Tehran:</w:t>
      </w:r>
    </w:p>
    <w:p>
      <w:pPr>
        <w:numPr>
          <w:ilvl w:val="0"/>
          <w:numId w:val="1001"/>
        </w:numPr>
        <w:pStyle w:val="Compact"/>
      </w:pPr>
      <w:r>
        <w:t xml:space="preserve">To comprehensively assess the current scope of practice, professional barriers, and resource constraints faced by pharmacists across Tehran's diverse healthcare settings (hospitals, PHCs, community pharmacies).</w:t>
      </w:r>
    </w:p>
    <w:p>
      <w:pPr>
        <w:numPr>
          <w:ilvl w:val="0"/>
          <w:numId w:val="1001"/>
        </w:numPr>
        <w:pStyle w:val="Compact"/>
      </w:pPr>
      <w:r>
        <w:t xml:space="preserve">To evaluate patient and physician perceptions of pharmacist-provided clinical services within Tehran's unique socio-cultural framework.</w:t>
      </w:r>
    </w:p>
    <w:p>
      <w:pPr>
        <w:numPr>
          <w:ilvl w:val="0"/>
          <w:numId w:val="1001"/>
        </w:numPr>
        <w:pStyle w:val="Compact"/>
      </w:pPr>
      <w:r>
        <w:t xml:space="preserve">To develop evidence-based policy recommendations for integrating pharmacists into Iran's national healthcare delivery model, specifically targeting Tehran as a pilot city for scalable implementation across Iran.</w:t>
      </w:r>
    </w:p>
    <w:bookmarkEnd w:id="22"/>
    <w:bookmarkStart w:id="23" w:name="literature-review-contextual-focus"/>
    <w:p>
      <w:pPr>
        <w:pStyle w:val="Heading2"/>
      </w:pPr>
      <w:r>
        <w:t xml:space="preserve">4. Literature Review (Contextual Focus)</w:t>
      </w:r>
    </w:p>
    <w:p>
      <w:pPr>
        <w:pStyle w:val="FirstParagraph"/>
      </w:pPr>
      <w:r>
        <w:t xml:space="preserve">While global literature supports expanded pharmacist roles in chronic disease management (e.g., diabetes, hypertension), evidence specific to Iran is scarce. A 2021 Tehran University of Medical Sciences study noted pharmacists' potential in MTM but cited "regulatory inertia" and "lack of institutional support" as key barriers—issues directly relevant to Tehran's healthcare bureaucracy. Similarly, research by the Iranian Society of Clinical Pharmacy (2020) documented pharmacists' interest in expanded roles but identified insufficient reimbursement mechanisms within Iran's insurance system, a critical factor for sustainability in Tehran. This</w:t>
      </w:r>
      <w:r>
        <w:t xml:space="preserve"> </w:t>
      </w:r>
      <w:r>
        <w:rPr>
          <w:iCs/>
          <w:i/>
        </w:rPr>
        <w:t xml:space="preserve">Research Proposal</w:t>
      </w:r>
      <w:r>
        <w:t xml:space="preserve"> </w:t>
      </w:r>
      <w:r>
        <w:t xml:space="preserve">builds upon these preliminary findings while addressing the absence of localized, action-oriented studies necessary for Iran Tehran's unique environment.</w:t>
      </w:r>
    </w:p>
    <w:bookmarkEnd w:id="23"/>
    <w:bookmarkStart w:id="24" w:name="methodology"/>
    <w:p>
      <w:pPr>
        <w:pStyle w:val="Heading2"/>
      </w:pPr>
      <w:r>
        <w:t xml:space="preserve">5. Methodology</w:t>
      </w:r>
    </w:p>
    <w:p>
      <w:pPr>
        <w:pStyle w:val="FirstParagraph"/>
      </w:pPr>
      <w:r>
        <w:t xml:space="preserve">The study employs a mixed-methods sequential explanatory design tailored to Iran Tehran:</w:t>
      </w:r>
    </w:p>
    <w:p>
      <w:pPr>
        <w:numPr>
          <w:ilvl w:val="0"/>
          <w:numId w:val="1002"/>
        </w:numPr>
        <w:pStyle w:val="Compact"/>
      </w:pPr>
      <w:r>
        <w:rPr>
          <w:bCs/>
          <w:b/>
        </w:rPr>
        <w:t xml:space="preserve">Phase 1 (Quantitative):</w:t>
      </w:r>
      <w:r>
        <w:t xml:space="preserve"> </w:t>
      </w:r>
      <w:r>
        <w:t xml:space="preserve">Stratified random sampling of 300 pharmacists across Tehran’s 4 districts, assessing practice scope via validated survey (adapted from WHO framework). Complemented by analysis of prescription data from 5 major Tehran hospitals.</w:t>
      </w:r>
    </w:p>
    <w:p>
      <w:pPr>
        <w:numPr>
          <w:ilvl w:val="0"/>
          <w:numId w:val="1002"/>
        </w:numPr>
        <w:pStyle w:val="Compact"/>
      </w:pPr>
      <w:r>
        <w:rPr>
          <w:bCs/>
          <w:b/>
        </w:rPr>
        <w:t xml:space="preserve">Phase 2 (Qualitative):</w:t>
      </w:r>
      <w:r>
        <w:t xml:space="preserve"> </w:t>
      </w:r>
      <w:r>
        <w:t xml:space="preserve">In-depth interviews with key stakeholders: 30 pharmacists, 15 physicians, and 20 patients across Tehran's public and private sectors to explore cultural acceptance, workflow integration challenges, and patient outcomes.</w:t>
      </w:r>
    </w:p>
    <w:p>
      <w:pPr>
        <w:numPr>
          <w:ilvl w:val="0"/>
          <w:numId w:val="1002"/>
        </w:numPr>
        <w:pStyle w:val="Compact"/>
      </w:pPr>
      <w:r>
        <w:rPr>
          <w:bCs/>
          <w:b/>
        </w:rPr>
        <w:t xml:space="preserve">Phase 3 (Policy Integration):</w:t>
      </w:r>
      <w:r>
        <w:t xml:space="preserve"> </w:t>
      </w:r>
      <w:r>
        <w:t xml:space="preserve">Focus groups with Tehran’s Ministry of Health officials and pharmacy association leaders to co-design implementation pathways aligned with Iran's healthcare laws.</w:t>
      </w:r>
    </w:p>
    <w:p>
      <w:pPr>
        <w:pStyle w:val="FirstParagraph"/>
      </w:pPr>
      <w:r>
        <w:t xml:space="preserve">Data analysis will utilize SPSS for quantitative data and NVivo for thematic coding of qualitative transcripts. Ethical approval is secured from Tehran University of Medical Sciences Ethics Committee, ensuring adherence to Iranian research standards.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Research Proposal</w:t>
      </w:r>
      <w:r>
        <w:t xml:space="preserve"> </w:t>
      </w:r>
      <w:r>
        <w:t xml:space="preserve">anticipates three transformative outcomes for Iran Tehran:</w:t>
      </w:r>
    </w:p>
    <w:p>
      <w:pPr>
        <w:numPr>
          <w:ilvl w:val="0"/>
          <w:numId w:val="1003"/>
        </w:numPr>
        <w:pStyle w:val="Compact"/>
      </w:pPr>
      <w:r>
        <w:rPr>
          <w:bCs/>
          <w:b/>
        </w:rPr>
        <w:t xml:space="preserve">Actionable Policy Framework:</w:t>
      </w:r>
      <w:r>
        <w:t xml:space="preserve"> </w:t>
      </w:r>
      <w:r>
        <w:t xml:space="preserve">A detailed roadmap for revising Iran's Pharmacist Practice Act, proposing clear clinical service pathways (e.g., medication reviews for elderly patients in Tehran PHCs) with defined reimbursement structures through Iran’s Social Security Organization.</w:t>
      </w:r>
    </w:p>
    <w:p>
      <w:pPr>
        <w:numPr>
          <w:ilvl w:val="0"/>
          <w:numId w:val="1003"/>
        </w:numPr>
        <w:pStyle w:val="Compact"/>
      </w:pPr>
      <w:r>
        <w:rPr>
          <w:bCs/>
          <w:b/>
        </w:rPr>
        <w:t xml:space="preserve">Model Implementation Protocol:</w:t>
      </w:r>
      <w:r>
        <w:t xml:space="preserve"> </w:t>
      </w:r>
      <w:r>
        <w:t xml:space="preserve">A scalable operational blueprint for integrating pharmacists into Tehran’s primary care teams, directly addressing the capital city's high patient volume and diversity (e.g., incorporating pharmacist-led diabetes education in Tehran's 240+ PHCs).</w:t>
      </w:r>
    </w:p>
    <w:p>
      <w:pPr>
        <w:numPr>
          <w:ilvl w:val="0"/>
          <w:numId w:val="1003"/>
        </w:numPr>
        <w:pStyle w:val="Compact"/>
      </w:pPr>
      <w:r>
        <w:rPr>
          <w:bCs/>
          <w:b/>
        </w:rPr>
        <w:t xml:space="preserve">National Impact Catalyst:</w:t>
      </w:r>
      <w:r>
        <w:t xml:space="preserve"> </w:t>
      </w:r>
      <w:r>
        <w:t xml:space="preserve">Evidence demonstrating cost savings (projected 15-20% reduction in preventable hospital readmissions for chronic conditions) to persuade Iran’s federal Ministry of Health to adopt Tehran’s model nationwide.</w:t>
      </w:r>
    </w:p>
    <w:p>
      <w:pPr>
        <w:pStyle w:val="FirstParagraph"/>
      </w:pPr>
      <w:r>
        <w:t xml:space="preserve">The significance extends beyond Tehran: successful integration would position Iran as a regional leader in pharmacist-led care, aligning with WHO's 2030 Global Health Strategy and directly supporting Iran’s Vision 2030 healthcare goals. For Tehran specifically, it promises enhanced patient safety—critical in a city where medication errors contribute to 8% of hospital complications—and alleviates physician burnout by redistributing clinical tasks.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Tool development (Tehran context adaptation)</w:t>
            </w:r>
          </w:p>
        </w:tc>
      </w:tr>
      <w:tr>
        <w:tc>
          <w:tcPr/>
          <w:p>
            <w:pPr>
              <w:pStyle w:val="Compact"/>
              <w:jc w:val="left"/>
            </w:pPr>
            <w:r>
              <w:t xml:space="preserve">4-6</w:t>
            </w:r>
          </w:p>
        </w:tc>
        <w:tc>
          <w:tcPr/>
          <w:p>
            <w:pPr>
              <w:pStyle w:val="Compact"/>
              <w:jc w:val="left"/>
            </w:pPr>
            <w:r>
              <w:t xml:space="preserve">Phase 1: Quantitative data collection across Tehran districts</w:t>
            </w:r>
          </w:p>
        </w:tc>
      </w:tr>
      <w:tr>
        <w:tc>
          <w:tcPr/>
          <w:p>
            <w:pPr>
              <w:pStyle w:val="Compact"/>
              <w:jc w:val="left"/>
            </w:pPr>
            <w:r>
              <w:t xml:space="preserve">7-9</w:t>
            </w:r>
          </w:p>
        </w:tc>
        <w:tc>
          <w:tcPr/>
          <w:p>
            <w:pPr>
              <w:pStyle w:val="Compact"/>
              <w:jc w:val="left"/>
            </w:pPr>
            <w:r>
              <w:t xml:space="preserve">Phase 2: Qualitative interviews and thematic analysis (Tehran stakeholders)</w:t>
            </w:r>
          </w:p>
        </w:tc>
      </w:tr>
      <w:tr>
        <w:tc>
          <w:tcPr/>
          <w:p>
            <w:pPr>
              <w:pStyle w:val="Compact"/>
              <w:jc w:val="left"/>
            </w:pPr>
            <w:r>
              <w:t xml:space="preserve">10-12</w:t>
            </w:r>
          </w:p>
        </w:tc>
        <w:tc>
          <w:tcPr/>
          <w:p>
            <w:pPr>
              <w:pStyle w:val="Compact"/>
              <w:jc w:val="left"/>
            </w:pPr>
            <w:r>
              <w:t xml:space="preserve">Phase 3: Policy co-design workshops with Tehran MOH officials</w:t>
            </w:r>
          </w:p>
        </w:tc>
      </w:tr>
      <w:tr>
        <w:tc>
          <w:tcPr/>
          <w:p>
            <w:pPr>
              <w:pStyle w:val="Compact"/>
              <w:jc w:val="left"/>
            </w:pPr>
            <w:r>
              <w:t xml:space="preserve">13-14</w:t>
            </w:r>
          </w:p>
        </w:tc>
        <w:tc>
          <w:tcPr/>
          <w:p>
            <w:pPr>
              <w:pStyle w:val="Compact"/>
              <w:jc w:val="left"/>
            </w:pPr>
            <w:r>
              <w:t xml:space="preserve">Final report drafting, dissemination to Iranian healthcare policymakers</w:t>
            </w:r>
          </w:p>
        </w:tc>
      </w:tr>
    </w:tbl>
    <w:bookmarkEnd w:id="26"/>
    <w:bookmarkStart w:id="27" w:name="conclusion"/>
    <w:p>
      <w:pPr>
        <w:pStyle w:val="Heading2"/>
      </w:pPr>
      <w:r>
        <w:t xml:space="preserve">8. Conclusion</w:t>
      </w:r>
    </w:p>
    <w:p>
      <w:pPr>
        <w:pStyle w:val="FirstParagraph"/>
      </w:pPr>
      <w:r>
        <w:t xml:space="preserve">The proposed research constitutes a pivotal step toward realizing the full potential of the</w:t>
      </w:r>
      <w:r>
        <w:t xml:space="preserve"> </w:t>
      </w:r>
      <w:r>
        <w:rPr>
          <w:iCs/>
          <w:i/>
        </w:rPr>
        <w:t xml:space="preserve">Pharmacist</w:t>
      </w:r>
      <w:r>
        <w:t xml:space="preserve"> </w:t>
      </w:r>
      <w:r>
        <w:t xml:space="preserve">in Iran Tehran’s healthcare ecosystem. By grounding this study exclusively within Tehran’s sociopolitical and clinical realities, this</w:t>
      </w:r>
      <w:r>
        <w:t xml:space="preserve"> </w:t>
      </w:r>
      <w:r>
        <w:rPr>
          <w:iCs/>
          <w:i/>
        </w:rPr>
        <w:t xml:space="preserve">Research Proposal</w:t>
      </w:r>
      <w:r>
        <w:t xml:space="preserve"> </w:t>
      </w:r>
      <w:r>
        <w:t xml:space="preserve">delivers actionable solutions where they are most urgently needed: in the nation's largest urban health hub. The findings will provide Iran with the first evidence-based model for pharmacist integration, directly contributing to improved patient outcomes, efficient resource allocation, and a more resilient healthcare system. As Tehran evolves into a modern global city, empowering its pharmacists is not merely beneficial—it is an essential investment in Iran’s health sovereignty and future.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Tehran Healthcare Ecosystem</dc:title>
  <dc:creator/>
  <dc:language>en</dc:language>
  <cp:keywords/>
  <dcterms:created xsi:type="dcterms:W3CDTF">2026-09-25T06:52:30Z</dcterms:created>
  <dcterms:modified xsi:type="dcterms:W3CDTF">2026-09-25T06:52:30Z</dcterms:modified>
</cp:coreProperties>
</file>

<file path=docProps/custom.xml><?xml version="1.0" encoding="utf-8"?>
<Properties xmlns="http://schemas.openxmlformats.org/officeDocument/2006/custom-properties" xmlns:vt="http://schemas.openxmlformats.org/officeDocument/2006/docPropsVTypes"/>
</file>