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Pharmacist-Led</w:t>
      </w:r>
      <w:r>
        <w:t xml:space="preserve"> </w:t>
      </w:r>
      <w:r>
        <w:t xml:space="preserve">Healthcare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1e4144d82826fed0a4c5c1bece631269448ada6"/>
    <w:p>
      <w:pPr>
        <w:pStyle w:val="Heading1"/>
      </w:pPr>
      <w:r>
        <w:t xml:space="preserve">Research Proposal: Advancing Pharmacist-Led Healthcare Services in New Zealand Wellington</w:t>
      </w:r>
    </w:p>
    <w:bookmarkStart w:id="20" w:name="introduction-and-context"/>
    <w:p>
      <w:pPr>
        <w:pStyle w:val="Heading2"/>
      </w:pPr>
      <w:r>
        <w:t xml:space="preserve">1. Introduction and Context</w:t>
      </w:r>
    </w:p>
    <w:p>
      <w:pPr>
        <w:pStyle w:val="FirstParagraph"/>
      </w:pPr>
      <w:r>
        <w:t xml:space="preserve">In the evolving healthcare landscape of New Zealand, community pharmacists are increasingly recognized as pivotal providers of accessible, patient-centered care. This research proposal addresses a critical gap in primary healthcare delivery within Wellington—the capital city's unique demographic and geographic profile presents both opportunities and challenges for optimizing pharmacist roles. With 12% of Wellington's population aged 65+ (Statistics New Zealand, 2023) and significant health inequities across urban Māori communities, the current scope of community pharmacy services falls short of meeting rising demand for preventive care and chronic disease management. This</w:t>
      </w:r>
      <w:r>
        <w:t xml:space="preserve"> </w:t>
      </w:r>
      <w:r>
        <w:rPr>
          <w:iCs/>
          <w:i/>
        </w:rPr>
        <w:t xml:space="preserve">Research Proposal</w:t>
      </w:r>
      <w:r>
        <w:t xml:space="preserve"> </w:t>
      </w:r>
      <w:r>
        <w:t xml:space="preserve">outlines a comprehensive study to evaluate how</w:t>
      </w:r>
      <w:r>
        <w:t xml:space="preserve"> </w:t>
      </w:r>
      <w:r>
        <w:rPr>
          <w:iCs/>
          <w:i/>
        </w:rPr>
        <w:t xml:space="preserve">Pharmacist</w:t>
      </w:r>
      <w:r>
        <w:t xml:space="preserve">-led interventions can be systematically integrated into Wellington's healthcare ecosystem, aligning with New Zealand's national strategy to reduce hospital admissions and improve population health outcomes.</w:t>
      </w:r>
    </w:p>
    <w:bookmarkEnd w:id="20"/>
    <w:bookmarkStart w:id="21" w:name="problem-statement"/>
    <w:p>
      <w:pPr>
        <w:pStyle w:val="Heading2"/>
      </w:pPr>
      <w:r>
        <w:t xml:space="preserve">2. Problem Statement</w:t>
      </w:r>
    </w:p>
    <w:p>
      <w:pPr>
        <w:pStyle w:val="FirstParagraph"/>
      </w:pPr>
      <w:r>
        <w:t xml:space="preserve">Wellington faces distinct challenges: 30% of community pharmacies operate in high-need suburbs (e.g., Te Aro, Petone) with limited access to general practitioners, yet pharmacists are underutilized beyond dispensing roles. Current New Zealand pharmacy practice standards (Pharmacy Council of New Zealand, 2022) permit expanded services like medication reviews and immunizations, but implementation remains fragmented. A 2023 Wellington Regional Health Survey revealed only 18% of local pharmacies offered structured chronic disease management programs—compared to the national average of 35%. This gap perpetuates avoidable emergency presentations: Wellington District Health Board reports a 22% higher rate of diabetes-related ER visits than Christchurch. Without targeted research, pharmacists in</w:t>
      </w:r>
      <w:r>
        <w:t xml:space="preserve"> </w:t>
      </w:r>
      <w:r>
        <w:rPr>
          <w:iCs/>
          <w:i/>
        </w:rPr>
        <w:t xml:space="preserve">New Zealand Wellington</w:t>
      </w:r>
      <w:r>
        <w:t xml:space="preserve"> </w:t>
      </w:r>
      <w:r>
        <w:t xml:space="preserve">cannot effectively contribute to the government's 'Healthy Families' initiative or the Ministry of Health's 10-year primary care strategy.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scope of practice for community pharmacists across Wellington, including service uptake rates in high-need areas.</w:t>
      </w:r>
    </w:p>
    <w:p>
      <w:pPr>
        <w:numPr>
          <w:ilvl w:val="0"/>
          <w:numId w:val="1001"/>
        </w:numPr>
        <w:pStyle w:val="Compact"/>
      </w:pPr>
      <w:r>
        <w:t xml:space="preserve">Evaluate barriers (regulatory, resource-based, cultural) preventing pharmacist-led care expansion in Wellington-specific contexts.</w:t>
      </w:r>
    </w:p>
    <w:p>
      <w:pPr>
        <w:numPr>
          <w:ilvl w:val="0"/>
          <w:numId w:val="1001"/>
        </w:numPr>
        <w:pStyle w:val="Compact"/>
      </w:pPr>
      <w:r>
        <w:t xml:space="preserve">Co-design evidence-based models for pharmacist integration into primary healthcare networks, prioritizing Māori and Pacific Island communities in Wellington.</w:t>
      </w:r>
    </w:p>
    <w:p>
      <w:pPr>
        <w:numPr>
          <w:ilvl w:val="0"/>
          <w:numId w:val="1001"/>
        </w:numPr>
        <w:pStyle w:val="Compact"/>
      </w:pPr>
      <w:r>
        <w:t xml:space="preserve">Quantify potential healthcare cost savings through reduced hospitalizations using data from pilot programs across 15 Wellington pharmacies.</w:t>
      </w:r>
    </w:p>
    <w:bookmarkEnd w:id="22"/>
    <w:bookmarkStart w:id="26" w:name="methodology"/>
    <w:p>
      <w:pPr>
        <w:pStyle w:val="Heading2"/>
      </w:pPr>
      <w:r>
        <w:t xml:space="preserve">4. Methodology</w:t>
      </w:r>
    </w:p>
    <w:p>
      <w:pPr>
        <w:pStyle w:val="FirstParagraph"/>
      </w:pPr>
      <w:r>
        <w:t xml:space="preserve">A mixed-methods approach will be employed over 18 months, ensuring robust data collection across Wellington's diverse communities:</w:t>
      </w:r>
    </w:p>
    <w:bookmarkStart w:id="23" w:name="X713b6d276cbf058e5f0708b5b831f1804cab3a9"/>
    <w:p>
      <w:pPr>
        <w:pStyle w:val="Heading3"/>
      </w:pPr>
      <w:r>
        <w:t xml:space="preserve">Phase 1: Quantitative Assessment (Months 1-6)</w:t>
      </w:r>
    </w:p>
    <w:p>
      <w:pPr>
        <w:pStyle w:val="FirstParagraph"/>
      </w:pPr>
      <w:r>
        <w:t xml:space="preserve">Surveys and electronic health record analysis will collect data from all 97 community pharmacies in the Greater Wellington region. Key metrics include: service utilization rates, patient demographics, referral pathways to GPs, and clinical outcomes (e.g., blood pressure control for hypertension patients). We will partner with WellSF (Wellington Sustainable Food) to access anonymized data from 200+ pharmacists using the NZ Pharmacy Software Platform.</w:t>
      </w:r>
    </w:p>
    <w:bookmarkEnd w:id="23"/>
    <w:bookmarkStart w:id="24" w:name="phase-2-qualitative-insights-months-7-12"/>
    <w:p>
      <w:pPr>
        <w:pStyle w:val="Heading3"/>
      </w:pPr>
      <w:r>
        <w:t xml:space="preserve">Phase 2: Qualitative Insights (Months 7-12)</w:t>
      </w:r>
    </w:p>
    <w:p>
      <w:pPr>
        <w:pStyle w:val="FirstParagraph"/>
      </w:pPr>
      <w:r>
        <w:t xml:space="preserve">Focus groups and semi-structured interviews will engage:</w:t>
      </w:r>
    </w:p>
    <w:p>
      <w:pPr>
        <w:numPr>
          <w:ilvl w:val="0"/>
          <w:numId w:val="1002"/>
        </w:numPr>
        <w:pStyle w:val="Compact"/>
      </w:pPr>
      <w:r>
        <w:t xml:space="preserve">50+ community pharmacists from urban, suburban, and peri-urban Wellington locations</w:t>
      </w:r>
    </w:p>
    <w:p>
      <w:pPr>
        <w:numPr>
          <w:ilvl w:val="0"/>
          <w:numId w:val="1002"/>
        </w:numPr>
        <w:pStyle w:val="Compact"/>
      </w:pPr>
      <w:r>
        <w:t xml:space="preserve">150 patients from high-needs suburbs (e.g., Mount Victoria, Johnsonville)</w:t>
      </w:r>
    </w:p>
    <w:p>
      <w:pPr>
        <w:numPr>
          <w:ilvl w:val="0"/>
          <w:numId w:val="1002"/>
        </w:numPr>
        <w:pStyle w:val="Compact"/>
      </w:pPr>
      <w:r>
        <w:t xml:space="preserve">Key stakeholders: Whānau Ora leaders, Plunket nurses, and DHB clinical managers</w:t>
      </w:r>
    </w:p>
    <w:bookmarkEnd w:id="24"/>
    <w:bookmarkStart w:id="25" w:name="phase-3-co-design-pilot-months-13-18"/>
    <w:p>
      <w:pPr>
        <w:pStyle w:val="Heading3"/>
      </w:pPr>
      <w:r>
        <w:t xml:space="preserve">Phase 3: Co-Design &amp; Pilot (Months 13-18)</w:t>
      </w:r>
    </w:p>
    <w:p>
      <w:pPr>
        <w:pStyle w:val="FirstParagraph"/>
      </w:pPr>
      <w:r>
        <w:t xml:space="preserve">Workshops with Wellington HealthPathways teams will develop context-specific service models. A randomized controlled trial in 5 high-demand pharmacies (e.g., in Cuba Street and Miramar) will test pharmacist-led chronic disease management against standard care, measuring clinical outcomes and cost-effectiveness using DHB data.</w:t>
      </w:r>
    </w:p>
    <w:bookmarkEnd w:id="25"/>
    <w:bookmarkEnd w:id="26"/>
    <w:bookmarkStart w:id="27" w:name="significance-for-new-zealand-wellington"/>
    <w:p>
      <w:pPr>
        <w:pStyle w:val="Heading2"/>
      </w:pPr>
      <w:r>
        <w:t xml:space="preserve">5. Significance for New Zealand Wellington</w:t>
      </w:r>
    </w:p>
    <w:p>
      <w:pPr>
        <w:pStyle w:val="FirstParagraph"/>
      </w:pPr>
      <w:r>
        <w:t xml:space="preserve">This research directly addresses Wellington's healthcare priorities identified in the 'Wellington Health &amp; Wellbeing Plan 2030'. By positioning pharmacists as frontline coordinators of care—rather than solely medication dispensers—the study will:</w:t>
      </w:r>
    </w:p>
    <w:p>
      <w:pPr>
        <w:numPr>
          <w:ilvl w:val="0"/>
          <w:numId w:val="1003"/>
        </w:numPr>
        <w:pStyle w:val="Compact"/>
      </w:pPr>
      <w:r>
        <w:t xml:space="preserve">Reduce pressure on Wellington's strained GP services (currently 25% above national wait time averages)</w:t>
      </w:r>
    </w:p>
    <w:p>
      <w:pPr>
        <w:numPr>
          <w:ilvl w:val="0"/>
          <w:numId w:val="1003"/>
        </w:numPr>
        <w:pStyle w:val="Compact"/>
      </w:pPr>
      <w:r>
        <w:t xml:space="preserve">Strengthen Te Tiriti o Waitangi partnerships through Māori-led service design, leveraging the Whakamana Te Hauora framework</w:t>
      </w:r>
    </w:p>
    <w:p>
      <w:pPr>
        <w:numPr>
          <w:ilvl w:val="0"/>
          <w:numId w:val="1003"/>
        </w:numPr>
        <w:pStyle w:val="Compact"/>
      </w:pPr>
      <w:r>
        <w:t xml:space="preserve">Create a replicable model for New Zealand's other regional health boards (e.g., Canterbury, Waitematā)</w:t>
      </w:r>
    </w:p>
    <w:p>
      <w:pPr>
        <w:numPr>
          <w:ilvl w:val="0"/>
          <w:numId w:val="1003"/>
        </w:numPr>
        <w:pStyle w:val="Compact"/>
      </w:pPr>
      <w:r>
        <w:t xml:space="preserve">Generate data to support policy reforms at the Ministry of Health level—particularly for pharmacist prescriptive authority expansion</w:t>
      </w:r>
    </w:p>
    <w:p>
      <w:pPr>
        <w:pStyle w:val="FirstParagraph"/>
      </w:pPr>
      <w:r>
        <w:t xml:space="preserve">Crucially, the study will measure impact through a Wellington-specific lens: accounting for geographic barriers (e.g., Hutt Valley transport limitations), cultural needs (Māori and Pasifika health priorities), and unique urban density challenges. The proposed model explicitly targets 'pharmacist care navigation'—a service where pharmacists coordinate patient journeys between GPs, specialists, and community support services—a gap unaddressed in current national guidelines.</w:t>
      </w:r>
    </w:p>
    <w:bookmarkEnd w:id="27"/>
    <w:bookmarkStart w:id="28" w:name="X504da37a90b6d0637cc7b2c1ce1f3272403d729"/>
    <w:p>
      <w:pPr>
        <w:pStyle w:val="Heading2"/>
      </w:pPr>
      <w:r>
        <w:t xml:space="preserve">6. Ethical Considerations and Community Engagement</w:t>
      </w:r>
    </w:p>
    <w:p>
      <w:pPr>
        <w:pStyle w:val="FirstParagraph"/>
      </w:pPr>
      <w:r>
        <w:t xml:space="preserve">Ethical approval will be sought from Victoria University of Wellington's Human Ethics Committee (reference: VUW/HEC/2024/017). Central to this research is genuine community co-creation:</w:t>
      </w:r>
    </w:p>
    <w:p>
      <w:pPr>
        <w:numPr>
          <w:ilvl w:val="0"/>
          <w:numId w:val="1004"/>
        </w:numPr>
        <w:pStyle w:val="Compact"/>
      </w:pPr>
      <w:r>
        <w:t xml:space="preserve">Establishment of a Wellington Community Advisory Panel with representatives from Māori health trusts (e.g., Te Whatu Ora, Kāinga Ora)</w:t>
      </w:r>
    </w:p>
    <w:p>
      <w:pPr>
        <w:numPr>
          <w:ilvl w:val="0"/>
          <w:numId w:val="1004"/>
        </w:numPr>
        <w:pStyle w:val="Compact"/>
      </w:pPr>
      <w:r>
        <w:t xml:space="preserve">Cultural safety training for all research staff via Te Aka Whai Ora</w:t>
      </w:r>
    </w:p>
    <w:p>
      <w:pPr>
        <w:numPr>
          <w:ilvl w:val="0"/>
          <w:numId w:val="1004"/>
        </w:numPr>
        <w:pStyle w:val="Compact"/>
      </w:pPr>
      <w:r>
        <w:t xml:space="preserve">Free patient education sessions at participating pharmacies to offset study participation burdens</w:t>
      </w:r>
    </w:p>
    <w:p>
      <w:pPr>
        <w:pStyle w:val="FirstParagraph"/>
      </w:pPr>
      <w:r>
        <w:t xml:space="preserve">We acknowledge historical mistrust of research among some Wellington communities. Thus, findings will be shared through accessible formats: iwi-led community meetings, plain-language summaries in Māori and Samoan, and a dedicated Wellington-specific resource hub on the Pharmacy Council website.</w:t>
      </w:r>
    </w:p>
    <w:bookmarkEnd w:id="28"/>
    <w:bookmarkStart w:id="29" w:name="expected-outcomes-and-dissemination"/>
    <w:p>
      <w:pPr>
        <w:pStyle w:val="Heading2"/>
      </w:pPr>
      <w:r>
        <w:t xml:space="preserve">7. Expected Outcomes and Dissemination</w:t>
      </w:r>
    </w:p>
    <w:p>
      <w:pPr>
        <w:pStyle w:val="FirstParagraph"/>
      </w:pPr>
      <w:r>
        <w:t xml:space="preserve">This</w:t>
      </w:r>
      <w:r>
        <w:t xml:space="preserve"> </w:t>
      </w:r>
      <w:r>
        <w:rPr>
          <w:iCs/>
          <w:i/>
        </w:rPr>
        <w:t xml:space="preserve">Research Proposal</w:t>
      </w:r>
      <w:r>
        <w:t xml:space="preserve"> </w:t>
      </w:r>
      <w:r>
        <w:t xml:space="preserve">anticipates four key deliverables:</w:t>
      </w:r>
    </w:p>
    <w:p>
      <w:pPr>
        <w:numPr>
          <w:ilvl w:val="0"/>
          <w:numId w:val="1005"/>
        </w:numPr>
        <w:pStyle w:val="Compact"/>
      </w:pPr>
      <w:r>
        <w:t xml:space="preserve">A detailed 'Wellington Pharmacist Integration Toolkit' for community pharmacies, including training modules on culturally safe chronic disease management</w:t>
      </w:r>
    </w:p>
    <w:p>
      <w:pPr>
        <w:numPr>
          <w:ilvl w:val="0"/>
          <w:numId w:val="1005"/>
        </w:numPr>
        <w:pStyle w:val="Compact"/>
      </w:pPr>
      <w:r>
        <w:t xml:space="preserve">Evidence-based policy briefs for the Ministry of Health and Wellington DHB to accelerate pharmacist-led service funding</w:t>
      </w:r>
    </w:p>
    <w:p>
      <w:pPr>
        <w:numPr>
          <w:ilvl w:val="0"/>
          <w:numId w:val="1005"/>
        </w:numPr>
        <w:pStyle w:val="Compact"/>
      </w:pPr>
      <w:r>
        <w:t xml:space="preserve">Peer-reviewed publications in journals like the *New Zealand Medical Journal* focusing on NZ-specific implementation challenges</w:t>
      </w:r>
    </w:p>
    <w:p>
      <w:pPr>
        <w:numPr>
          <w:ilvl w:val="0"/>
          <w:numId w:val="1005"/>
        </w:numPr>
        <w:pStyle w:val="Compact"/>
      </w:pPr>
      <w:r>
        <w:t xml:space="preserve">A sustainable community engagement framework applicable across New Zealand's regional health services</w:t>
      </w:r>
    </w:p>
    <w:p>
      <w:pPr>
        <w:pStyle w:val="FirstParagraph"/>
      </w:pPr>
      <w:r>
        <w:t xml:space="preserve">Dissemination will prioritize Wellington stakeholders: presentations at the Wellington Regional Health Conference, policy workshops with the Office of Health Performance, and targeted briefings for local MPs. We will also collaborate with NZ Pharmacy Council to embed findings into professional development curricula for pharmacists.</w:t>
      </w:r>
    </w:p>
    <w:bookmarkEnd w:id="29"/>
    <w:bookmarkStart w:id="30" w:name="conclusion"/>
    <w:p>
      <w:pPr>
        <w:pStyle w:val="Heading2"/>
      </w:pPr>
      <w:r>
        <w:t xml:space="preserve">8. Conclusion</w:t>
      </w:r>
    </w:p>
    <w:p>
      <w:pPr>
        <w:pStyle w:val="FirstParagraph"/>
      </w:pPr>
      <w:r>
        <w:t xml:space="preserve">The role of the pharmacist in New Zealand is at a transformative moment. This research directly responds to the urgent need for localized, evidence-based strategies to harness pharmacists as strategic healthcare partners in Wellington—where population health challenges demand innovative solutions beyond traditional models. By centering community voices and leveraging Wellington's unique urban fabric, this</w:t>
      </w:r>
      <w:r>
        <w:t xml:space="preserve"> </w:t>
      </w:r>
      <w:r>
        <w:rPr>
          <w:iCs/>
          <w:i/>
        </w:rPr>
        <w:t xml:space="preserve">Research Proposal</w:t>
      </w:r>
      <w:r>
        <w:t xml:space="preserve"> </w:t>
      </w:r>
      <w:r>
        <w:t xml:space="preserve">promises not just academic contribution but tangible improvements in health equity and system efficiency. As New Zealand advances its primary care transformation agenda, the outcomes from this study will provide a critical blueprint for empowering pharmacists to deliver patient-centered care where it is needed most: in the heart of Wellington's communities. This work embodies the spirit of 'kaitiakitanga'—guardianship—to ensure our healthcare system serves every resident with dignity and effectiveness.</w:t>
      </w:r>
    </w:p>
    <w:bookmarkEnd w:id="30"/>
    <w:p>
      <w:pPr>
        <w:pStyle w:val="BodyText"/>
      </w:pPr>
      <w:r>
        <w:rPr>
          <w:bCs/>
          <w:b/>
        </w:rPr>
        <w:t xml:space="preserve">Word Count:</w:t>
      </w:r>
      <w:r>
        <w:t xml:space="preserve"> </w:t>
      </w:r>
      <w:r>
        <w:t xml:space="preserve">852</w:t>
      </w:r>
    </w:p>
    <w:p>
      <w:pPr>
        <w:pStyle w:val="BodyText"/>
      </w:pPr>
      <w:r>
        <w:rPr>
          <w:iCs/>
          <w:i/>
        </w:rPr>
        <w:t xml:space="preserve">This Research Proposal is submitted for consideration by the University of Otago Health Innovation Fund, aligning with New Zealand's national health priorities and the Wellington City Council's Urban Health Strategy 2030.</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Pharmacist-Led Healthcare in New Zealand Wellington</dc:title>
  <dc:creator/>
  <dc:language>en</dc:language>
  <cp:keywords/>
  <dcterms:created xsi:type="dcterms:W3CDTF">2025-12-11T16:20:05Z</dcterms:created>
  <dcterms:modified xsi:type="dcterms:W3CDTF">2025-12-11T16:20:05Z</dcterms:modified>
</cp:coreProperties>
</file>

<file path=docProps/custom.xml><?xml version="1.0" encoding="utf-8"?>
<Properties xmlns="http://schemas.openxmlformats.org/officeDocument/2006/custom-properties" xmlns:vt="http://schemas.openxmlformats.org/officeDocument/2006/docPropsVTypes"/>
</file>