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Russia</w:t>
      </w:r>
      <w:r>
        <w:t xml:space="preserve"> </w:t>
      </w:r>
      <w:r>
        <w:t xml:space="preserve">Moscow</w:t>
      </w:r>
      <w:r>
        <w:t xml:space="preserve"> </w:t>
      </w:r>
      <w:r>
        <w:t xml:space="preserve">Healthcare</w:t>
      </w:r>
      <w:r>
        <w:t xml:space="preserve"> </w:t>
      </w:r>
      <w:r>
        <w:t xml:space="preserve">System</w:t>
      </w:r>
    </w:p>
    <w:bookmarkStart w:id="33" w:name="X44dac0a18238fe597977f42cc800b0edaa5076f"/>
    <w:p>
      <w:pPr>
        <w:pStyle w:val="Heading1"/>
      </w:pPr>
      <w:r>
        <w:t xml:space="preserve">Research Proposal: Optimizing Pharmacist Contributions to Public Health in Moscow, Russia</w:t>
      </w:r>
    </w:p>
    <w:bookmarkStart w:id="20" w:name="Xe19c599a920afa4ec4037baeacae74e95957032"/>
    <w:p>
      <w:pPr>
        <w:pStyle w:val="Heading2"/>
      </w:pPr>
      <w:r>
        <w:t xml:space="preserve">I. Introduction and Contextual Significance</w:t>
      </w:r>
    </w:p>
    <w:p>
      <w:pPr>
        <w:pStyle w:val="FirstParagraph"/>
      </w:pPr>
      <w:r>
        <w:t xml:space="preserve">The evolving healthcare landscape in Russia demands strategic reevaluation of pharmacy services, particularly within Moscow—the nation's demographic, economic, and medical epicenter. With over 13 million residents facing complex health challenges including cardiovascular diseases (accounting for 56% of mortality), diabetes prevalence (15.2%), and rising antibiotic resistance, the traditional role of the</w:t>
      </w:r>
      <w:r>
        <w:t xml:space="preserve"> </w:t>
      </w:r>
      <w:r>
        <w:rPr>
          <w:iCs/>
          <w:i/>
        </w:rPr>
        <w:t xml:space="preserve">Pharmacist</w:t>
      </w:r>
      <w:r>
        <w:t xml:space="preserve"> </w:t>
      </w:r>
      <w:r>
        <w:t xml:space="preserve">in Russia remains largely confined to dispensing medications rather than proactive clinical engagement. This research proposal addresses a critical gap: transforming Moscow's pharmacists from mere medication handlers into integral public health stakeholders within Russia's National Healthcare System. The significance lies in Moscow's unique position as a testing ground for national healthcare reforms, where innovative pharmacist-led interventions could yield scalable models for the entire country.</w:t>
      </w:r>
    </w:p>
    <w:bookmarkEnd w:id="20"/>
    <w:bookmarkStart w:id="21" w:name="X9129817ebfc21c7fd6a85ccce72b3ce555105f1"/>
    <w:p>
      <w:pPr>
        <w:pStyle w:val="Heading2"/>
      </w:pPr>
      <w:r>
        <w:t xml:space="preserve">II. Problem Statement and Research Imperative</w:t>
      </w:r>
    </w:p>
    <w:p>
      <w:pPr>
        <w:pStyle w:val="FirstParagraph"/>
      </w:pPr>
      <w:r>
        <w:t xml:space="preserve">Current Russian pharmacy practice, governed by Federal Law No. 61-FZ (2011), restricts pharmacists' scope to technical tasks with minimal clinical involvement—contrasting sharply with WHO-recommended roles in chronic disease management and health promotion. In Moscow alone, 78% of pharmacies operate under centralized supply systems that prioritize efficiency over patient engagement (Roszdravnadzor, 2023). This operational gap has tangible consequences: medication adherence rates for hypertension patients in Moscow are only 42% (vs. 65% in EU nations), directly contributing to avoidable hospitalizations. Crucially, no comprehensive study has examined how Moscow-based pharmacists—navigating Russia's complex regulatory environment while serving a diverse urban population—can be effectively empowered to bridge this gap. This research is urgent as Russia's Ministry of Health targets 20% reduction in preventable mortality by 2030.</w:t>
      </w:r>
    </w:p>
    <w:bookmarkEnd w:id="21"/>
    <w:bookmarkStart w:id="22" w:name="iii.-research-objectives"/>
    <w:p>
      <w:pPr>
        <w:pStyle w:val="Heading2"/>
      </w:pPr>
      <w:r>
        <w:t xml:space="preserve">III. Research Objectives</w:t>
      </w:r>
    </w:p>
    <w:p>
      <w:pPr>
        <w:numPr>
          <w:ilvl w:val="0"/>
          <w:numId w:val="1001"/>
        </w:numPr>
        <w:pStyle w:val="Compact"/>
      </w:pPr>
      <w:r>
        <w:rPr>
          <w:bCs/>
          <w:b/>
        </w:rPr>
        <w:t xml:space="preserve">Primary Objective:</w:t>
      </w:r>
      <w:r>
        <w:t xml:space="preserve"> </w:t>
      </w:r>
      <w:r>
        <w:t xml:space="preserve">To develop and validate a context-specific framework for expanding the clinical role of pharmacists within Moscow's pharmacy network, aligned with Russia's Federal State Educational Standard (FSES) for pharmacy training.</w:t>
      </w:r>
    </w:p>
    <w:p>
      <w:pPr>
        <w:numPr>
          <w:ilvl w:val="0"/>
          <w:numId w:val="1001"/>
        </w:numPr>
        <w:pStyle w:val="Compact"/>
      </w:pPr>
      <w:r>
        <w:rPr>
          <w:bCs/>
          <w:b/>
        </w:rPr>
        <w:t xml:space="preserve">Secondary Objectives:</w:t>
      </w:r>
    </w:p>
    <w:p>
      <w:pPr>
        <w:numPr>
          <w:ilvl w:val="1"/>
          <w:numId w:val="1002"/>
        </w:numPr>
        <w:pStyle w:val="Compact"/>
      </w:pPr>
      <w:r>
        <w:t xml:space="preserve">Identify regulatory, educational, and infrastructural barriers hindering pharmacist-led public health initiatives in Moscow</w:t>
      </w:r>
    </w:p>
    <w:p>
      <w:pPr>
        <w:numPr>
          <w:ilvl w:val="1"/>
          <w:numId w:val="1002"/>
        </w:numPr>
        <w:pStyle w:val="Compact"/>
      </w:pPr>
      <w:r>
        <w:t xml:space="preserve">Evaluate patient and physician acceptance of expanded pharmacist services in high-need Moscow districts (e.g., Istra, Lyubertsy)</w:t>
      </w:r>
    </w:p>
    <w:p>
      <w:pPr>
        <w:numPr>
          <w:ilvl w:val="1"/>
          <w:numId w:val="1002"/>
        </w:numPr>
        <w:pStyle w:val="Compact"/>
      </w:pPr>
      <w:r>
        <w:t xml:space="preserve">Design a pilot model for pharmacist-managed chronic disease clinics integrated into primary care networks</w:t>
      </w:r>
    </w:p>
    <w:bookmarkEnd w:id="22"/>
    <w:bookmarkStart w:id="23" w:name="Xd2cf4d3166c908a0e62a30b722ff86ef79c7a50"/>
    <w:p>
      <w:pPr>
        <w:pStyle w:val="Heading2"/>
      </w:pPr>
      <w:r>
        <w:t xml:space="preserve">IV. Literature Review: Gaps in Russia-Specific Context</w:t>
      </w:r>
    </w:p>
    <w:p>
      <w:pPr>
        <w:pStyle w:val="FirstParagraph"/>
      </w:pPr>
      <w:r>
        <w:t xml:space="preserve">While global studies (e.g., WHO, 2021) demonstrate pharmacists' impact on medication safety and chronic disease outcomes, Russian literature remains fragmented. A 2020 Moscow State University study noted pharmacists' willingness to expand roles but highlighted institutional resistance—a finding echoed in Krasnoyarsk pilot programs. However, no research has analyzed Moscow's unique urban pharmacy ecosystem: its 1,356 retail pharmacies (per Rosstat, 2023), varied ownership models (state vs. private chains), and the impact of Russia's recent digital health platform "My Health" on pharmacy workflows. This proposal directly addresses these context-specific voids by centering Moscow as both geographic and systemic case study.</w:t>
      </w:r>
    </w:p>
    <w:bookmarkEnd w:id="23"/>
    <w:bookmarkStart w:id="28" w:name="v.-methodology-mixed-methods-approach"/>
    <w:p>
      <w:pPr>
        <w:pStyle w:val="Heading2"/>
      </w:pPr>
      <w:r>
        <w:t xml:space="preserve">V. Methodology: Mixed-Methods Approach</w:t>
      </w:r>
    </w:p>
    <w:p>
      <w:pPr>
        <w:pStyle w:val="FirstParagraph"/>
      </w:pPr>
      <w:r>
        <w:t xml:space="preserve">Utilizing a sequential explanatory design across four phases, the research will generate actionable data for Russian policymakers:</w:t>
      </w:r>
    </w:p>
    <w:bookmarkStart w:id="24" w:name="X409745c8ece0733b6ca6fb3bd12012416a96a83"/>
    <w:p>
      <w:pPr>
        <w:pStyle w:val="Heading3"/>
      </w:pPr>
      <w:r>
        <w:t xml:space="preserve">A. Phase 1: Quantitative Survey (Moscow Pharmacist Cohort)</w:t>
      </w:r>
    </w:p>
    <w:p>
      <w:pPr>
        <w:pStyle w:val="FirstParagraph"/>
      </w:pPr>
      <w:r>
        <w:t xml:space="preserve">Administering validated WHO pharmacy practice questionnaires to 450 pharmacists across Moscow's 7 administrative districts (stratified by pharmacy type). Key metrics: current clinical tasks, perceived barriers, and willingness to adopt new roles.</w:t>
      </w:r>
    </w:p>
    <w:bookmarkEnd w:id="24"/>
    <w:bookmarkStart w:id="25" w:name="b.-phase-2-qualitative-fieldwork"/>
    <w:p>
      <w:pPr>
        <w:pStyle w:val="Heading3"/>
      </w:pPr>
      <w:r>
        <w:t xml:space="preserve">B. Phase 2: Qualitative Fieldwork</w:t>
      </w:r>
    </w:p>
    <w:p>
      <w:pPr>
        <w:pStyle w:val="FirstParagraph"/>
      </w:pPr>
      <w:r>
        <w:t xml:space="preserve">Conducting semi-structured interviews with 40 pharmacists and 25 primary care physicians in Moscow clinics. Focus: identifying unmet patient needs (e.g., diabetes education gaps) and system-level constraints like insufficient electronic health record (EHR) interoperability.</w:t>
      </w:r>
    </w:p>
    <w:bookmarkEnd w:id="25"/>
    <w:bookmarkStart w:id="26" w:name="c.-phase-3-pilot-implementation"/>
    <w:p>
      <w:pPr>
        <w:pStyle w:val="Heading3"/>
      </w:pPr>
      <w:r>
        <w:t xml:space="preserve">C. Phase 3: Pilot Implementation</w:t>
      </w:r>
    </w:p>
    <w:p>
      <w:pPr>
        <w:pStyle w:val="FirstParagraph"/>
      </w:pPr>
      <w:r>
        <w:t xml:space="preserve">Co-designing and deploying a 6-month pharmacist-led hypertension management pilot in three Moscow pharmacies (targeting 200 patients). Measuring outcomes via blood pressure control rates, patient satisfaction (using Likert scales), and cost-effectiveness analysis.</w:t>
      </w:r>
    </w:p>
    <w:bookmarkEnd w:id="26"/>
    <w:bookmarkStart w:id="27" w:name="d.-phase-4-policy-integration-framework"/>
    <w:p>
      <w:pPr>
        <w:pStyle w:val="Heading3"/>
      </w:pPr>
      <w:r>
        <w:t xml:space="preserve">D. Phase 4: Policy Integration Framework</w:t>
      </w:r>
    </w:p>
    <w:p>
      <w:pPr>
        <w:pStyle w:val="FirstParagraph"/>
      </w:pPr>
      <w:r>
        <w:t xml:space="preserve">Collaborating with Moscow's Department of Healthcare to draft regulatory amendments for pharmacist scope expansion, validated through expert workshops with Federal Ministry of Health representatives.</w:t>
      </w:r>
    </w:p>
    <w:bookmarkEnd w:id="27"/>
    <w:bookmarkEnd w:id="28"/>
    <w:bookmarkStart w:id="29" w:name="X7c155ac5a13a75d1abc831eda05a9fe3afc7c86"/>
    <w:p>
      <w:pPr>
        <w:pStyle w:val="Heading2"/>
      </w:pPr>
      <w:r>
        <w:t xml:space="preserve">VI. Expected Outcomes and Russia-Specific Impact</w:t>
      </w:r>
    </w:p>
    <w:p>
      <w:pPr>
        <w:pStyle w:val="FirstParagraph"/>
      </w:pPr>
      <w:r>
        <w:t xml:space="preserve">This research anticipates three transformative outcomes directly relevant to Russia Moscow:</w:t>
      </w:r>
    </w:p>
    <w:p>
      <w:pPr>
        <w:numPr>
          <w:ilvl w:val="0"/>
          <w:numId w:val="1003"/>
        </w:numPr>
        <w:pStyle w:val="Compact"/>
      </w:pPr>
      <w:r>
        <w:rPr>
          <w:bCs/>
          <w:b/>
        </w:rPr>
        <w:t xml:space="preserve">Operational Framework:</w:t>
      </w:r>
      <w:r>
        <w:t xml:space="preserve"> </w:t>
      </w:r>
      <w:r>
        <w:t xml:space="preserve">A Moscow-specific "Pharmacist Clinical Role Expansion Model" addressing local regulatory hurdles (e.g., adapting to Russia's 2023 EHR standards) and cultural factors like physician-patient communication norms.</w:t>
      </w:r>
    </w:p>
    <w:p>
      <w:pPr>
        <w:numPr>
          <w:ilvl w:val="0"/>
          <w:numId w:val="1003"/>
        </w:numPr>
        <w:pStyle w:val="Compact"/>
      </w:pPr>
      <w:r>
        <w:rPr>
          <w:bCs/>
          <w:b/>
        </w:rPr>
        <w:t xml:space="preserve">Evidence for National Policy:</w:t>
      </w:r>
      <w:r>
        <w:t xml:space="preserve"> </w:t>
      </w:r>
      <w:r>
        <w:t xml:space="preserve">Quantifiable data demonstrating how pharmacist-led interventions could reduce Moscow's preventable hospitalizations by 18-25%—providing a replicable blueprint for Russia's 100+ regional capitals.</w:t>
      </w:r>
    </w:p>
    <w:p>
      <w:pPr>
        <w:numPr>
          <w:ilvl w:val="0"/>
          <w:numId w:val="1003"/>
        </w:numPr>
        <w:pStyle w:val="Compact"/>
      </w:pPr>
      <w:r>
        <w:rPr>
          <w:bCs/>
          <w:b/>
        </w:rPr>
        <w:t xml:space="preserve">Workforce Development Blueprint:</w:t>
      </w:r>
      <w:r>
        <w:t xml:space="preserve"> </w:t>
      </w:r>
      <w:r>
        <w:t xml:space="preserve">Curriculum recommendations for Moscow PharmD programs to integrate clinical skills (e.g., medication therapy management) per WHO guidelines, addressing Russia's current training gap where only 37% of pharmacists report formal chronic disease management education.</w:t>
      </w:r>
    </w:p>
    <w:bookmarkEnd w:id="29"/>
    <w:bookmarkStart w:id="30" w:name="vii.-timeline-and-resource-requirements"/>
    <w:p>
      <w:pPr>
        <w:pStyle w:val="Heading2"/>
      </w:pPr>
      <w:r>
        <w:t xml:space="preserve">VII. Timeline and Resource Requirements</w:t>
      </w:r>
    </w:p>
    <w:p>
      <w:pPr>
        <w:pStyle w:val="FirstParagraph"/>
      </w:pPr>
      <w:r>
        <w:t xml:space="preserve">Conducted over 18 months with strategic alignment to Moscow's healthcare planning cycles:</w:t>
      </w:r>
    </w:p>
    <w:p>
      <w:pPr>
        <w:numPr>
          <w:ilvl w:val="0"/>
          <w:numId w:val="1004"/>
        </w:numPr>
        <w:pStyle w:val="Compact"/>
      </w:pPr>
      <w:r>
        <w:rPr>
          <w:bCs/>
          <w:b/>
        </w:rPr>
        <w:t xml:space="preserve">Months 1-3:</w:t>
      </w:r>
      <w:r>
        <w:t xml:space="preserve"> </w:t>
      </w:r>
      <w:r>
        <w:t xml:space="preserve">Ethical approvals, stakeholder mapping (Moscow Healthcare Department, Russian Pharmaceutical Association)</w:t>
      </w:r>
    </w:p>
    <w:p>
      <w:pPr>
        <w:numPr>
          <w:ilvl w:val="0"/>
          <w:numId w:val="1004"/>
        </w:numPr>
        <w:pStyle w:val="Compact"/>
      </w:pPr>
      <w:r>
        <w:rPr>
          <w:bCs/>
          <w:b/>
        </w:rPr>
        <w:t xml:space="preserve">Months 4-9:</w:t>
      </w:r>
      <w:r>
        <w:t xml:space="preserve"> </w:t>
      </w:r>
      <w:r>
        <w:t xml:space="preserve">Data collection across 7 Moscow districts</w:t>
      </w:r>
    </w:p>
    <w:p>
      <w:pPr>
        <w:numPr>
          <w:ilvl w:val="0"/>
          <w:numId w:val="1004"/>
        </w:numPr>
        <w:pStyle w:val="Compact"/>
      </w:pPr>
      <w:r>
        <w:rPr>
          <w:bCs/>
          <w:b/>
        </w:rPr>
        <w:t xml:space="preserve">Months 10-14:</w:t>
      </w:r>
      <w:r>
        <w:t xml:space="preserve"> </w:t>
      </w:r>
      <w:r>
        <w:t xml:space="preserve">Pilot implementation and impact assessment</w:t>
      </w:r>
    </w:p>
    <w:p>
      <w:pPr>
        <w:numPr>
          <w:ilvl w:val="0"/>
          <w:numId w:val="1004"/>
        </w:numPr>
        <w:pStyle w:val="Compact"/>
      </w:pPr>
      <w:r>
        <w:rPr>
          <w:bCs/>
          <w:b/>
        </w:rPr>
        <w:t xml:space="preserve">Months 15-18:</w:t>
      </w:r>
      <w:r>
        <w:t xml:space="preserve"> </w:t>
      </w:r>
      <w:r>
        <w:t xml:space="preserve">Policy drafting, stakeholder validation workshops in Moscow City Hall, final report submission to Federal Ministry of Health</w:t>
      </w:r>
    </w:p>
    <w:p>
      <w:pPr>
        <w:pStyle w:val="FirstParagraph"/>
      </w:pPr>
      <w:r>
        <w:t xml:space="preserve">Budget will prioritize Moscow-specific fieldwork costs (travel, local staff) and partnerships with Moscow State University of Pharmacy. Total requested: 4.2 million RUB (~$50,000 USD), aligning with Russian Federal Targeted Program funding for healthcare innovation.</w:t>
      </w:r>
    </w:p>
    <w:bookmarkEnd w:id="30"/>
    <w:bookmarkStart w:id="31" w:name="Xc9db1bee30bc00c91b8ae5e9286ce1355ca5c31"/>
    <w:p>
      <w:pPr>
        <w:pStyle w:val="Heading2"/>
      </w:pPr>
      <w:r>
        <w:t xml:space="preserve">VIII. Conclusion: Strategic Imperative for Russia's Healthcare Future</w:t>
      </w:r>
    </w:p>
    <w:p>
      <w:pPr>
        <w:pStyle w:val="FirstParagraph"/>
      </w:pPr>
      <w:r>
        <w:t xml:space="preserve">In the dynamic environment of Russia Moscow—a city where public health priorities intersect with economic modernization—the role of the pharmacist must evolve beyond transactional service to clinical leadership. This research directly responds to the Russian Government’s 2021-2030 National Health Development Strategy, which identifies pharmaceutical services as a priority for quality improvement. By grounding our methodology in Moscow's unique urban healthcare reality and prioritizing actionable outcomes for Russian policymakers, this proposal will position pharmacists as pivotal agents in achieving Russia's vision of "accessible, high-quality healthcare for all citizens." The success of this initiative could catalyze a nationwide transformation where the</w:t>
      </w:r>
      <w:r>
        <w:t xml:space="preserve"> </w:t>
      </w:r>
      <w:r>
        <w:rPr>
          <w:iCs/>
          <w:i/>
        </w:rPr>
        <w:t xml:space="preserve">Pharmacist</w:t>
      </w:r>
      <w:r>
        <w:t xml:space="preserve"> </w:t>
      </w:r>
      <w:r>
        <w:t xml:space="preserve">becomes synonymous not with medication dispensing but with proactive public health stewardship across</w:t>
      </w:r>
      <w:r>
        <w:t xml:space="preserve"> </w:t>
      </w:r>
      <w:r>
        <w:rPr>
          <w:bCs/>
          <w:b/>
        </w:rPr>
        <w:t xml:space="preserve">Russia Moscow</w:t>
      </w:r>
      <w:r>
        <w:t xml:space="preserve"> </w:t>
      </w:r>
      <w:r>
        <w:t xml:space="preserve">and beyond.</w:t>
      </w:r>
    </w:p>
    <w:bookmarkEnd w:id="31"/>
    <w:bookmarkStart w:id="32" w:name="references-illustrative"/>
    <w:p>
      <w:pPr>
        <w:pStyle w:val="Heading2"/>
      </w:pPr>
      <w:r>
        <w:t xml:space="preserve">References (Illustrative)</w:t>
      </w:r>
    </w:p>
    <w:p>
      <w:pPr>
        <w:numPr>
          <w:ilvl w:val="0"/>
          <w:numId w:val="1005"/>
        </w:numPr>
        <w:pStyle w:val="Compact"/>
      </w:pPr>
      <w:r>
        <w:t xml:space="preserve">Federal Law No. 61-FZ "On Pharmacy" (Russia, 2011).</w:t>
      </w:r>
    </w:p>
    <w:p>
      <w:pPr>
        <w:numPr>
          <w:ilvl w:val="0"/>
          <w:numId w:val="1005"/>
        </w:numPr>
        <w:pStyle w:val="Compact"/>
      </w:pPr>
      <w:r>
        <w:t xml:space="preserve">Roszdravnadzor. (2023). *Pharmacy Network Report: Moscow Districts*. Moscow: Federal Healthcare Inspectorate.</w:t>
      </w:r>
    </w:p>
    <w:p>
      <w:pPr>
        <w:numPr>
          <w:ilvl w:val="0"/>
          <w:numId w:val="1005"/>
        </w:numPr>
        <w:pStyle w:val="Compact"/>
      </w:pPr>
      <w:r>
        <w:t xml:space="preserve">WHO. (2021). *The Role of Pharmacists in Chronic Disease Management*. Geneva.</w:t>
      </w:r>
    </w:p>
    <w:p>
      <w:pPr>
        <w:numPr>
          <w:ilvl w:val="0"/>
          <w:numId w:val="1005"/>
        </w:numPr>
        <w:pStyle w:val="Compact"/>
      </w:pPr>
      <w:r>
        <w:t xml:space="preserve">Petrov, A., et al. (2020). "Barriers to Clinical Pharmacist Practice in Russia." *Journal of Pharmacy Practice*, 33(4), 567–574.</w:t>
      </w:r>
    </w:p>
    <w:p>
      <w:pPr>
        <w:pStyle w:val="FirstParagraph"/>
      </w:pPr>
      <w:r>
        <w:rPr>
          <w:bCs/>
          <w:b/>
        </w:rPr>
        <w:t xml:space="preserve">Total 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Pharmacist Role in Russia Moscow Healthcare System</dc:title>
  <dc:creator/>
  <dc:language>en</dc:language>
  <cp:keywords/>
  <dcterms:created xsi:type="dcterms:W3CDTF">2026-07-23T08:46:37Z</dcterms:created>
  <dcterms:modified xsi:type="dcterms:W3CDTF">2026-07-23T08:46:37Z</dcterms:modified>
</cp:coreProperties>
</file>

<file path=docProps/custom.xml><?xml version="1.0" encoding="utf-8"?>
<Properties xmlns="http://schemas.openxmlformats.org/officeDocument/2006/custom-properties" xmlns:vt="http://schemas.openxmlformats.org/officeDocument/2006/docPropsVTypes"/>
</file>