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Tashkent,</w:t>
      </w:r>
      <w:r>
        <w:t xml:space="preserve"> </w:t>
      </w:r>
      <w:r>
        <w:t xml:space="preserve">Uzbekistan</w:t>
      </w:r>
    </w:p>
    <w:bookmarkStart w:id="31" w:name="X6f5df25b8ab3f6e64d51ab228bbeb5c34d96bab"/>
    <w:p>
      <w:pPr>
        <w:pStyle w:val="Heading1"/>
      </w:pPr>
      <w:r>
        <w:t xml:space="preserve">Research Proposal: Enhancing Pharmaceutical Care Services through the Evolution of the Pharmacist Profession in Tashkent, Uzbekistan</w:t>
      </w:r>
    </w:p>
    <w:bookmarkStart w:id="20" w:name="introduction-and-background"/>
    <w:p>
      <w:pPr>
        <w:pStyle w:val="Heading2"/>
      </w:pPr>
      <w:r>
        <w:t xml:space="preserve">1. Introduction and Background</w:t>
      </w:r>
    </w:p>
    <w:p>
      <w:pPr>
        <w:pStyle w:val="FirstParagraph"/>
      </w:pPr>
      <w:r>
        <w:t xml:space="preserve">The healthcare landscape in Uzbekistan has undergone significant transformation since its independence, with Tashkent as the national epicenter for medical innovation. Despite these advancements, a critical gap persists in the utilization of pharmacists as clinical health professionals rather than mere dispensers of medications. This Research Proposal addresses an urgent need to redefine and elevate the role of the Pharmacist within Uzbekistan's evolving healthcare system, specifically in Tashkent—the country's most populous and medically advanced urban center. Current practice predominantly positions pharmacists in retail settings with limited clinical engagement, while global best practices demonstrate that integrated pharmacist involvement reduces medication errors by up to 50% and improves chronic disease management outcomes. This study is therefore strategically vital for Uzbekistan Tashkent as it seeks to align its healthcare delivery with World Health Organization (WHO) standards and the national "Healthcare 2030" strategic framework.</w:t>
      </w:r>
    </w:p>
    <w:bookmarkEnd w:id="20"/>
    <w:bookmarkStart w:id="21" w:name="problem-statement"/>
    <w:p>
      <w:pPr>
        <w:pStyle w:val="Heading2"/>
      </w:pPr>
      <w:r>
        <w:t xml:space="preserve">2. Problem Statement</w:t>
      </w:r>
    </w:p>
    <w:p>
      <w:pPr>
        <w:pStyle w:val="FirstParagraph"/>
      </w:pPr>
      <w:r>
        <w:t xml:space="preserve">In Tashkent, Uzbekistan, pharmacists operate within a regulatory environment that has not fully adapted to modern pharmaceutical care models. The current scope of practice for the Pharmacist remains largely restricted to prescription dispensing and inventory management, with minimal integration into patient-centered care teams. This limitation stems from outdated legislation (Law on Pharmacy Services No. 310-IV), insufficient clinical training curricula in Uzbek medical universities, and limited reimbursement mechanisms for pharmaceutical services. Consequently, Tashkent residents face challenges including medication non-adherence (reported at 45% for chronic conditions in the 2022 National Health Survey), preventable drug-related hospitalizations (estimated at 18% of emergency admissions), and underutilized pharmacist expertise. This situation directly contradicts Uzbekistan's commitment to universal health coverage and the Sustainable Development Goals (SDG 3.8).</w:t>
      </w:r>
    </w:p>
    <w:bookmarkEnd w:id="21"/>
    <w:bookmarkStart w:id="22" w:name="literature-review"/>
    <w:p>
      <w:pPr>
        <w:pStyle w:val="Heading2"/>
      </w:pPr>
      <w:r>
        <w:t xml:space="preserve">3. Literature Review</w:t>
      </w:r>
    </w:p>
    <w:p>
      <w:pPr>
        <w:pStyle w:val="FirstParagraph"/>
      </w:pPr>
      <w:r>
        <w:t xml:space="preserve">International studies consistently demonstrate that expanded pharmacist roles significantly improve healthcare outcomes. A WHO report (2021) highlighted that countries like Australia and Canada—where pharmacists conduct medication therapy management—achieve 30% lower readmission rates for heart failure patients. In Central Asia, Kazakhstan's "Pharmacist Clinical Practice Guidelines" (2020) showed a 25% reduction in adverse drug events after implementing pharmacist-led interventions. However, Uzbekistan lacks context-specific research on pharmacist scope expansion. A preliminary 2023 study by the Tashkent Medical University acknowledged that only 14% of community pharmacies in Uzbekistan Tashkent offer basic clinical services (e.g., blood pressure checks), citing "legal barriers and lack of professional development opportunities" as primary constraints. This proposal directly addresses this evidence gap through a localized, actionable investigation.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legal constraints, and training deficiencies affecting pharmacists in Tashkent pharmacies and hospitals.</w:t>
      </w:r>
    </w:p>
    <w:p>
      <w:pPr>
        <w:numPr>
          <w:ilvl w:val="0"/>
          <w:numId w:val="1001"/>
        </w:numPr>
        <w:pStyle w:val="Compact"/>
      </w:pPr>
      <w:r>
        <w:t xml:space="preserve">To identify stakeholder perceptions (pharmacists, physicians, patients) regarding the integration of clinical pharmacist services in Uzbekistan Tashkent's healthcare system.</w:t>
      </w:r>
    </w:p>
    <w:p>
      <w:pPr>
        <w:numPr>
          <w:ilvl w:val="0"/>
          <w:numId w:val="1001"/>
        </w:numPr>
        <w:pStyle w:val="Compact"/>
      </w:pPr>
      <w:r>
        <w:t xml:space="preserve">To develop evidence-based recommendations for legislative reforms and educational enhancements to expand the Pharmacist's role in patient care delivery.</w:t>
      </w:r>
    </w:p>
    <w:p>
      <w:pPr>
        <w:numPr>
          <w:ilvl w:val="0"/>
          <w:numId w:val="1001"/>
        </w:numPr>
        <w:pStyle w:val="Compact"/>
      </w:pPr>
      <w:r>
        <w:t xml:space="preserve">To establish a pilot framework for pharmacist-led medication optimization services in selected Tashkent healthcare facilities.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Uzbekistan Tashkent:</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Administer standardized questionnaires to all licensed pharmacists (n=850) and physicians (n=400) across Tashkent's public and private sectors.</w:t>
      </w:r>
    </w:p>
    <w:p>
      <w:pPr>
        <w:numPr>
          <w:ilvl w:val="0"/>
          <w:numId w:val="1002"/>
        </w:numPr>
        <w:pStyle w:val="Compact"/>
      </w:pPr>
      <w:r>
        <w:rPr>
          <w:bCs/>
          <w:b/>
        </w:rPr>
        <w:t xml:space="preserve">Policy Analysis:</w:t>
      </w:r>
      <w:r>
        <w:t xml:space="preserve"> </w:t>
      </w:r>
      <w:r>
        <w:t xml:space="preserve">Systematic review of Uzbekistan's pharmaceutical legislation, pharmacy practice standards, and reimbursement policies relevant to Tashkent.</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Conduct 6 groups with pharmacists (8-10 per group) to explore barriers and opportunities for clinical practice expansion.</w:t>
      </w:r>
    </w:p>
    <w:p>
      <w:pPr>
        <w:numPr>
          <w:ilvl w:val="0"/>
          <w:numId w:val="1003"/>
        </w:numPr>
        <w:pStyle w:val="Compact"/>
      </w:pPr>
      <w:r>
        <w:rPr>
          <w:bCs/>
          <w:b/>
        </w:rPr>
        <w:t xml:space="preserve">Key Informant Interviews:</w:t>
      </w:r>
      <w:r>
        <w:t xml:space="preserve"> </w:t>
      </w:r>
      <w:r>
        <w:t xml:space="preserve">Interview 25 healthcare administrators, Ministry of Health officials, and patient advocates in Tashkent.</w:t>
      </w:r>
    </w:p>
    <w:bookmarkEnd w:id="25"/>
    <w:bookmarkStart w:id="26" w:name="phase-3-intervention-design-months-13-18"/>
    <w:p>
      <w:pPr>
        <w:pStyle w:val="Heading3"/>
      </w:pPr>
      <w:r>
        <w:t xml:space="preserve">Phase 3: Intervention Design (Months 13-18)</w:t>
      </w:r>
    </w:p>
    <w:p>
      <w:pPr>
        <w:numPr>
          <w:ilvl w:val="0"/>
          <w:numId w:val="1004"/>
        </w:numPr>
        <w:pStyle w:val="Compact"/>
      </w:pPr>
      <w:r>
        <w:rPr>
          <w:bCs/>
          <w:b/>
        </w:rPr>
        <w:t xml:space="preserve">Pilot Implementation:</w:t>
      </w:r>
      <w:r>
        <w:t xml:space="preserve"> </w:t>
      </w:r>
      <w:r>
        <w:t xml:space="preserve">Co-design and implement a 6-month pilot at two Tashkent hospitals and three community pharmacies, introducing pharmacist-led medication therapy management for hypertension/diabetes patients.</w:t>
      </w:r>
    </w:p>
    <w:p>
      <w:pPr>
        <w:numPr>
          <w:ilvl w:val="0"/>
          <w:numId w:val="1004"/>
        </w:numPr>
        <w:pStyle w:val="Compact"/>
      </w:pPr>
      <w:r>
        <w:rPr>
          <w:bCs/>
          <w:b/>
        </w:rPr>
        <w:t xml:space="preserve">Evaluation Metrics:</w:t>
      </w:r>
      <w:r>
        <w:t xml:space="preserve"> </w:t>
      </w:r>
      <w:r>
        <w:t xml:space="preserve">Track clinical outcomes (HbA1c, BP control), patient satisfaction (Likert scale), and cost-effectiveness versus standard care.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w:t>
      </w:r>
    </w:p>
    <w:p>
      <w:pPr>
        <w:numPr>
          <w:ilvl w:val="0"/>
          <w:numId w:val="1005"/>
        </w:numPr>
        <w:pStyle w:val="Compact"/>
      </w:pPr>
      <w:r>
        <w:rPr>
          <w:bCs/>
          <w:b/>
        </w:rPr>
        <w:t xml:space="preserve">Policy Impact:</w:t>
      </w:r>
      <w:r>
        <w:t xml:space="preserve"> </w:t>
      </w:r>
      <w:r>
        <w:t xml:space="preserve">Draft a legislative amendment to the Law on Pharmacy Services, explicitly recognizing clinical pharmacist responsibilities (e.g., medication reconciliation, patient education) and creating a reimbursement pathway for these services. This would position Tashkent as Uzbekistan's model city for pharmacy practice reform.</w:t>
      </w:r>
    </w:p>
    <w:p>
      <w:pPr>
        <w:numPr>
          <w:ilvl w:val="0"/>
          <w:numId w:val="1005"/>
        </w:numPr>
        <w:pStyle w:val="Compact"/>
      </w:pPr>
      <w:r>
        <w:rPr>
          <w:bCs/>
          <w:b/>
        </w:rPr>
        <w:t xml:space="preserve">Professional Development:</w:t>
      </w:r>
      <w:r>
        <w:t xml:space="preserve"> </w:t>
      </w:r>
      <w:r>
        <w:t xml:space="preserve">Develop an accredited 40-hour continuing education curriculum for pharmacists in Uzbekistan Tashkent, integrating clinical skills modules validated by the International Pharmaceutical Federation (FIP) standards. This will directly address current training gaps identified in Phase 1.</w:t>
      </w:r>
    </w:p>
    <w:p>
      <w:pPr>
        <w:numPr>
          <w:ilvl w:val="0"/>
          <w:numId w:val="1005"/>
        </w:numPr>
        <w:pStyle w:val="Compact"/>
      </w:pPr>
      <w:r>
        <w:rPr>
          <w:bCs/>
          <w:b/>
        </w:rPr>
        <w:t xml:space="preserve">Health System Improvement:</w:t>
      </w:r>
      <w:r>
        <w:t xml:space="preserve"> </w:t>
      </w:r>
      <w:r>
        <w:t xml:space="preserve">Demonstrate measurable improvements in patient outcomes through the pilot program—targeting a 20% reduction in medication errors and a 15% increase in chronic disease control rates within six months. These results will provide concrete evidence for nationwide scale-up under Uzbekistan's "Digital Health" initiative.</w:t>
      </w:r>
    </w:p>
    <w:p>
      <w:pPr>
        <w:pStyle w:val="FirstParagraph"/>
      </w:pPr>
      <w:r>
        <w:t xml:space="preserve">The significance extends beyond Tashkent: As the capital city, Uzbekistan Tashkent serves as a national laboratory for healthcare innovation. Success here would catalyze adoption across all 12 regions of Uzbekistan, directly contributing to the country's strategic goal of reducing avoidable mortality by 30% by 2030. Moreover, this research will strengthen the Pharmacist profession's professional identity, attracting higher-caliber graduates to pharmacy education in Tashkent universities and improving retention rates in community practice.</w:t>
      </w:r>
    </w:p>
    <w:bookmarkEnd w:id="28"/>
    <w:bookmarkStart w:id="29"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Policy Analysis &amp; Survey Deployment</w:t>
            </w:r>
          </w:p>
        </w:tc>
        <w:tc>
          <w:tcPr/>
          <w:p>
            <w:pPr>
              <w:pStyle w:val="Compact"/>
              <w:jc w:val="left"/>
            </w:pPr>
            <w:r>
              <w:t xml:space="preserve">Months 1-6</w:t>
            </w:r>
          </w:p>
        </w:tc>
        <w:tc>
          <w:tcPr/>
          <w:p>
            <w:pPr>
              <w:pStyle w:val="Compact"/>
              <w:jc w:val="left"/>
            </w:pPr>
            <w:r>
              <w:t xml:space="preserve">$24,500</w:t>
            </w:r>
          </w:p>
        </w:tc>
      </w:tr>
      <w:tr>
        <w:tc>
          <w:tcPr/>
          <w:p>
            <w:pPr>
              <w:pStyle w:val="Compact"/>
              <w:jc w:val="left"/>
            </w:pPr>
            <w:r>
              <w:t xml:space="preserve">Focus Groups &amp; Key Informant Interviews</w:t>
            </w:r>
          </w:p>
        </w:tc>
        <w:tc>
          <w:tcPr/>
          <w:p>
            <w:pPr>
              <w:pStyle w:val="Compact"/>
              <w:jc w:val="left"/>
            </w:pPr>
            <w:r>
              <w:t xml:space="preserve">Months 7-12</w:t>
            </w:r>
          </w:p>
        </w:tc>
        <w:tc>
          <w:tcPr/>
          <w:p>
            <w:pPr>
              <w:pStyle w:val="Compact"/>
              <w:jc w:val="left"/>
            </w:pPr>
            <w:r>
              <w:t xml:space="preserve">$31,800</w:t>
            </w:r>
          </w:p>
        </w:tc>
      </w:tr>
      <w:tr>
        <w:tc>
          <w:tcPr/>
          <w:p>
            <w:pPr>
              <w:pStyle w:val="Compact"/>
              <w:jc w:val="left"/>
            </w:pPr>
            <w:r>
              <w:t xml:space="preserve">Pilot Program Implementation &amp; Evaluation</w:t>
            </w:r>
          </w:p>
        </w:tc>
        <w:tc>
          <w:tcPr/>
          <w:p>
            <w:pPr>
              <w:pStyle w:val="Compact"/>
              <w:jc w:val="left"/>
            </w:pPr>
            <w:r>
              <w:t xml:space="preserve">Months 13-18</w:t>
            </w:r>
          </w:p>
        </w:tc>
        <w:tc>
          <w:tcPr/>
          <w:p>
            <w:pPr>
              <w:pStyle w:val="Compact"/>
              <w:jc w:val="left"/>
            </w:pPr>
            <w:r>
              <w:t xml:space="preserve">$42,600</w:t>
            </w:r>
          </w:p>
        </w:tc>
      </w:tr>
      <w:tr>
        <w:tc>
          <w:tcPr/>
          <w:p>
            <w:pPr>
              <w:pStyle w:val="Compact"/>
              <w:jc w:val="left"/>
            </w:pPr>
            <w:r>
              <w:t xml:space="preserve">Total Budget Request</w:t>
            </w:r>
          </w:p>
        </w:tc>
        <w:tc>
          <w:tcPr/>
          <w:p>
            <w:pPr>
              <w:pStyle w:val="Compact"/>
              <w:jc w:val="left"/>
            </w:pPr>
            <w:r>
              <w:t xml:space="preserve">18 Months</w:t>
            </w:r>
          </w:p>
        </w:tc>
        <w:tc>
          <w:tcPr/>
          <w:p>
            <w:pPr>
              <w:pStyle w:val="Compact"/>
              <w:jc w:val="left"/>
            </w:pPr>
            <w:r>
              <w:t xml:space="preserve">$98,900</w:t>
            </w:r>
          </w:p>
        </w:tc>
      </w:tr>
    </w:tbl>
    <w:bookmarkEnd w:id="29"/>
    <w:bookmarkStart w:id="30" w:name="conclusion"/>
    <w:p>
      <w:pPr>
        <w:pStyle w:val="Heading2"/>
      </w:pPr>
      <w:r>
        <w:t xml:space="preserve">8. Conclusion</w:t>
      </w:r>
    </w:p>
    <w:p>
      <w:pPr>
        <w:pStyle w:val="FirstParagraph"/>
      </w:pPr>
      <w:r>
        <w:t xml:space="preserve">The proposed Research Proposal represents a pivotal opportunity to transform the Pharmacist's role from passive dispensers to active clinical partners within Uzbekistan Tashkent's healthcare ecosystem. By grounding this initiative in rigorous local data and stakeholder collaboration, it addresses a critical bottleneck in Uzbekistan's healthcare delivery system while directly supporting national strategic priorities. The outcomes will provide a replicable blueprint for expanding pharmacist scope of practice across Central Asia, ultimately advancing the vision of accessible, high-quality pharmaceutical care for all citizens of Tashkent and beyond. This research is not merely an academic exercise—it is a necessary step toward building a healthcare system in Uzbekistan where every Pharmacist can fully contribute to saving lives and enhancing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Tashkent, Uzbekistan</dc:title>
  <dc:creator/>
  <dc:language>en</dc:language>
  <cp:keywords/>
  <dcterms:created xsi:type="dcterms:W3CDTF">2026-07-23T12:28:49Z</dcterms:created>
  <dcterms:modified xsi:type="dcterms:W3CDTF">2026-07-23T12:28:49Z</dcterms:modified>
</cp:coreProperties>
</file>

<file path=docProps/custom.xml><?xml version="1.0" encoding="utf-8"?>
<Properties xmlns="http://schemas.openxmlformats.org/officeDocument/2006/custom-properties" xmlns:vt="http://schemas.openxmlformats.org/officeDocument/2006/docPropsVTypes"/>
</file>