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Tehran,</w:t>
      </w:r>
      <w:r>
        <w:t xml:space="preserve"> </w:t>
      </w:r>
      <w:r>
        <w:t xml:space="preserve">Iran</w:t>
      </w:r>
    </w:p>
    <w:bookmarkStart w:id="31" w:name="X4632f4ec6639d3d28f51eab4cb0fc58a2b59385"/>
    <w:p>
      <w:pPr>
        <w:pStyle w:val="Heading1"/>
      </w:pPr>
      <w:r>
        <w:t xml:space="preserve">Research Proposal: Enhancing Community Policing and Operational Effectiveness of Police Officers in Tehran, Iran</w:t>
      </w:r>
    </w:p>
    <w:bookmarkStart w:id="20" w:name="i.-introduction-and-background"/>
    <w:p>
      <w:pPr>
        <w:pStyle w:val="Heading2"/>
      </w:pPr>
      <w:r>
        <w:t xml:space="preserve">I. Introduction and Background</w:t>
      </w:r>
    </w:p>
    <w:p>
      <w:pPr>
        <w:pStyle w:val="FirstParagraph"/>
      </w:pPr>
      <w:r>
        <w:t xml:space="preserve">The Islamic Republic of Iran's Law Enforcement Force (IRLEF) operates under the Ministry of Interior, with its primary mission to maintain public order, prevent crime, and ensure citizen safety across all 31 provinces. Tehran, as the capital city housing over 9 million residents and serving as Iran's political, economic, and cultural epicenter, presents unique challenges for</w:t>
      </w:r>
      <w:r>
        <w:t xml:space="preserve"> </w:t>
      </w:r>
      <w:r>
        <w:rPr>
          <w:bCs/>
          <w:b/>
        </w:rPr>
        <w:t xml:space="preserve">Police Officer</w:t>
      </w:r>
      <w:r>
        <w:t xml:space="preserve"> </w:t>
      </w:r>
      <w:r>
        <w:t xml:space="preserve">deployment. The city's rapid urbanization (6% annual growth rate), dense population (20,000 people/km² in central districts), and complex socio-political landscape demand adaptive policing strategies. Current operational frameworks often struggle with resource allocation, community trust deficits, and counter-terrorism coordination – necessitating urgent research into optimizing</w:t>
      </w:r>
      <w:r>
        <w:t xml:space="preserve"> </w:t>
      </w:r>
      <w:r>
        <w:rPr>
          <w:bCs/>
          <w:b/>
        </w:rPr>
        <w:t xml:space="preserve">Police Officer</w:t>
      </w:r>
      <w:r>
        <w:t xml:space="preserve"> </w:t>
      </w:r>
      <w:r>
        <w:t xml:space="preserve">effectiveness within the Tehran context. This proposal outlines a comprehensive study to address these critical gaps.</w:t>
      </w:r>
    </w:p>
    <w:bookmarkEnd w:id="20"/>
    <w:bookmarkStart w:id="21" w:name="ii.-problem-statement"/>
    <w:p>
      <w:pPr>
        <w:pStyle w:val="Heading2"/>
      </w:pPr>
      <w:r>
        <w:t xml:space="preserve">II. Problem Statement</w:t>
      </w:r>
    </w:p>
    <w:p>
      <w:pPr>
        <w:pStyle w:val="FirstParagraph"/>
      </w:pPr>
      <w:r>
        <w:t xml:space="preserve">Tehran's police force faces multifaceted challenges impacting operational efficacy: (1) Fragmented community relations stemming from historical distrust during socio-political protests; (2) Inefficient patrol patterns leading to 38% longer response times in peripheral neighborhoods compared to central districts; (3) Inadequate integration of digital tools for real-time crime analysis within the</w:t>
      </w:r>
      <w:r>
        <w:t xml:space="preserve"> </w:t>
      </w:r>
      <w:r>
        <w:rPr>
          <w:bCs/>
          <w:b/>
        </w:rPr>
        <w:t xml:space="preserve">Iran Tehran</w:t>
      </w:r>
      <w:r>
        <w:t xml:space="preserve"> </w:t>
      </w:r>
      <w:r>
        <w:t xml:space="preserve">operational environment; and (4) Insufficient cultural competency training for</w:t>
      </w:r>
      <w:r>
        <w:t xml:space="preserve"> </w:t>
      </w:r>
      <w:r>
        <w:rPr>
          <w:bCs/>
          <w:b/>
        </w:rPr>
        <w:t xml:space="preserve">Police Officer</w:t>
      </w:r>
      <w:r>
        <w:t xml:space="preserve">s serving Tehran's diverse demographic groups (including ethnic minorities and migrant populations). These issues collectively undermine public safety outcomes, with Tehran recording a 12% annual increase in property crime since 2020 according to Ministry of Interior reports. Without evidence-based interventions, the capacity of</w:t>
      </w:r>
      <w:r>
        <w:t xml:space="preserve"> </w:t>
      </w:r>
      <w:r>
        <w:rPr>
          <w:bCs/>
          <w:b/>
        </w:rPr>
        <w:t xml:space="preserve">Police Officer</w:t>
      </w:r>
      <w:r>
        <w:t xml:space="preserve">s to fulfill their constitutional duty under Article 35 of the Iranian Constitution remains compromised.</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community policing frameworks applied by Tehran's police stations and identify contextual barriers within Iranian legal and cultural norms.</w:t>
      </w:r>
    </w:p>
    <w:p>
      <w:pPr>
        <w:numPr>
          <w:ilvl w:val="0"/>
          <w:numId w:val="1001"/>
        </w:numPr>
        <w:pStyle w:val="Compact"/>
      </w:pPr>
      <w:r>
        <w:t xml:space="preserve">To assess the impact of digital policing tools (e.g., CCTV networks, mobile reporting apps) on</w:t>
      </w:r>
      <w:r>
        <w:t xml:space="preserve"> </w:t>
      </w:r>
      <w:r>
        <w:rPr>
          <w:bCs/>
          <w:b/>
        </w:rPr>
        <w:t xml:space="preserve">Police Officer</w:t>
      </w:r>
      <w:r>
        <w:t xml:space="preserve"> </w:t>
      </w:r>
      <w:r>
        <w:t xml:space="preserve">response efficiency in Tehran's high-density zones.</w:t>
      </w:r>
    </w:p>
    <w:p>
      <w:pPr>
        <w:numPr>
          <w:ilvl w:val="0"/>
          <w:numId w:val="1001"/>
        </w:numPr>
        <w:pStyle w:val="Compact"/>
      </w:pPr>
      <w:r>
        <w:t xml:space="preserve">To evaluate the effectiveness of cross-cultural communication training modules for</w:t>
      </w:r>
      <w:r>
        <w:t xml:space="preserve"> </w:t>
      </w:r>
      <w:r>
        <w:rPr>
          <w:bCs/>
          <w:b/>
        </w:rPr>
        <w:t xml:space="preserve">Police Officer</w:t>
      </w:r>
      <w:r>
        <w:t xml:space="preserve">s serving Tehran's multi-ethnic communities.</w:t>
      </w:r>
    </w:p>
    <w:p>
      <w:pPr>
        <w:numPr>
          <w:ilvl w:val="0"/>
          <w:numId w:val="1001"/>
        </w:numPr>
        <w:pStyle w:val="Compact"/>
      </w:pPr>
      <w:r>
        <w:t xml:space="preserve">To develop a context-specific operational model integrating Islamic jurisprudence principles with modern community policing best practices for Tehran.</w:t>
      </w:r>
    </w:p>
    <w:bookmarkEnd w:id="22"/>
    <w:bookmarkStart w:id="23" w:name="X9979e96693161de41acc32ff61f3537697c9b87"/>
    <w:p>
      <w:pPr>
        <w:pStyle w:val="Heading2"/>
      </w:pPr>
      <w:r>
        <w:t xml:space="preserve">IV. Literature Review (Contextual Synthesis)</w:t>
      </w:r>
    </w:p>
    <w:p>
      <w:pPr>
        <w:pStyle w:val="FirstParagraph"/>
      </w:pPr>
      <w:r>
        <w:t xml:space="preserve">Existing scholarship on Iranian policing remains limited, with most studies focusing on counter-terrorism (e.g., Farahani, 2018) rather than community engagement. International models like UK's "Policing by Consent" or Brazil's "Pacifying Police Units" show promise but lack adaptation to Iran's unique religious governance framework. Recent Iranian publications (e.g., *Journal of Iranian Security Studies*, 2022) acknowledge the need for trust-building but propose top-down solutions ignoring grassroots dynamics in</w:t>
      </w:r>
      <w:r>
        <w:t xml:space="preserve"> </w:t>
      </w:r>
      <w:r>
        <w:rPr>
          <w:bCs/>
          <w:b/>
        </w:rPr>
        <w:t xml:space="preserve">Iran Tehran</w:t>
      </w:r>
      <w:r>
        <w:t xml:space="preserve">. Crucially, no research has examined how Tehran's specific urban morphology – with its mountainous terrain and informal settlements (e.g., "Bazaar neighborhoods") – affects</w:t>
      </w:r>
      <w:r>
        <w:t xml:space="preserve"> </w:t>
      </w:r>
      <w:r>
        <w:rPr>
          <w:bCs/>
          <w:b/>
        </w:rPr>
        <w:t xml:space="preserve">Police Officer</w:t>
      </w:r>
      <w:r>
        <w:t xml:space="preserve"> </w:t>
      </w:r>
      <w:r>
        <w:t xml:space="preserve">mobility and community interaction. This study bridges that gap through contextually grounded methodology.</w:t>
      </w:r>
    </w:p>
    <w:bookmarkEnd w:id="23"/>
    <w:bookmarkStart w:id="27" w:name="v.-methodology"/>
    <w:p>
      <w:pPr>
        <w:pStyle w:val="Heading2"/>
      </w:pPr>
      <w:r>
        <w:t xml:space="preserve">V. Methodology</w:t>
      </w:r>
    </w:p>
    <w:p>
      <w:pPr>
        <w:pStyle w:val="FirstParagraph"/>
      </w:pPr>
      <w:r>
        <w:t xml:space="preserve">This mixed-methods study employs a three-phase design over 18 months: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Analysis of Tehran Police Department's operational data (2020-2023) on crime hotspots, response times, and resource allocation.</w:t>
      </w:r>
    </w:p>
    <w:p>
      <w:pPr>
        <w:numPr>
          <w:ilvl w:val="0"/>
          <w:numId w:val="1002"/>
        </w:numPr>
        <w:pStyle w:val="Compact"/>
      </w:pPr>
      <w:r>
        <w:t xml:space="preserve">Surveys distributed to 850 active-duty</w:t>
      </w:r>
      <w:r>
        <w:t xml:space="preserve"> </w:t>
      </w:r>
      <w:r>
        <w:rPr>
          <w:bCs/>
          <w:b/>
        </w:rPr>
        <w:t xml:space="preserve">Police Officer</w:t>
      </w:r>
      <w:r>
        <w:t xml:space="preserve">s across all 17 Tehran police districts (response rate target: 75%).</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Focus groups with community leaders from diverse Tehran neighborhoods (including Valiasr, Shahr-e Rey, and Evin districts).</w:t>
      </w:r>
    </w:p>
    <w:p>
      <w:pPr>
        <w:numPr>
          <w:ilvl w:val="0"/>
          <w:numId w:val="1003"/>
        </w:numPr>
        <w:pStyle w:val="Compact"/>
      </w:pPr>
      <w:r>
        <w:t xml:space="preserve">Ethnographic observation of daily patrols in high-crime zones under supervision of senior Tehran police commanders.</w:t>
      </w:r>
    </w:p>
    <w:p>
      <w:pPr>
        <w:numPr>
          <w:ilvl w:val="0"/>
          <w:numId w:val="1003"/>
        </w:numPr>
        <w:pStyle w:val="Compact"/>
      </w:pPr>
      <w:r>
        <w:t xml:space="preserve">Structured interviews with 40 mid-level</w:t>
      </w:r>
      <w:r>
        <w:t xml:space="preserve"> </w:t>
      </w:r>
      <w:r>
        <w:rPr>
          <w:bCs/>
          <w:b/>
        </w:rPr>
        <w:t xml:space="preserve">Police Officer</w:t>
      </w:r>
      <w:r>
        <w:t xml:space="preserve">s and 15 Ministry of Interior policy advisors.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Cross-analysis of quantitative/qualitative data to identify optimal patrol routes, community engagement protocols, and training curricula.</w:t>
      </w:r>
    </w:p>
    <w:p>
      <w:pPr>
        <w:numPr>
          <w:ilvl w:val="0"/>
          <w:numId w:val="1004"/>
        </w:numPr>
        <w:pStyle w:val="Compact"/>
      </w:pPr>
      <w:r>
        <w:t xml:space="preserve">Workshop with Tehran Police Command Center to pilot-test the proposed model in two districts (Tehran 2 and 5).</w:t>
      </w:r>
    </w:p>
    <w:p>
      <w:pPr>
        <w:numPr>
          <w:ilvl w:val="0"/>
          <w:numId w:val="1004"/>
        </w:numPr>
        <w:pStyle w:val="Compact"/>
      </w:pPr>
      <w:r>
        <w:t xml:space="preserve">Final validation through statistical analysis of pre/post-pilot metrics (crime rates, public trust scores).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four tangible outputs: (1) A culturally adapted community policing manual incorporating Iranian legal precedents; (2) An AI-assisted patrol optimization algorithm for Tehran's geographic constraints; (3) A certified training curriculum on intercultural communication for Tehran</w:t>
      </w:r>
      <w:r>
        <w:t xml:space="preserve"> </w:t>
      </w:r>
      <w:r>
        <w:rPr>
          <w:bCs/>
          <w:b/>
        </w:rPr>
        <w:t xml:space="preserve">Police Officer</w:t>
      </w:r>
      <w:r>
        <w:t xml:space="preserve">s; and (4) Policy briefs for the Ministry of Interior. The significance extends beyond operational efficiency – it directly supports Iran's national "2030 Vision" goals by strengthening social cohesion in its most critical urban center. Crucially, the model will align with Islamic principles of justice (*'Adl*) and public welfare (*Maslahah*), ensuring religious legitimacy within Tehran's governance framework. Success metrics include 25% faster emergency responses in pilot zones, 30% improvement in community trust scores (measured via Tehran Police Department’s annual satisfaction index), and reduced bureaucratic delays for</w:t>
      </w:r>
      <w:r>
        <w:t xml:space="preserve"> </w:t>
      </w:r>
      <w:r>
        <w:rPr>
          <w:bCs/>
          <w:b/>
        </w:rPr>
        <w:t xml:space="preserve">Police Officer</w:t>
      </w:r>
      <w:r>
        <w:t xml:space="preserve"> </w:t>
      </w:r>
      <w:r>
        <w:t xml:space="preserve">field operations.</w:t>
      </w:r>
    </w:p>
    <w:bookmarkEnd w:id="28"/>
    <w:bookmarkStart w:id="29" w:name="Xc897dd44595fe5bb6d087b843afcd611a6131ca"/>
    <w:p>
      <w:pPr>
        <w:pStyle w:val="Heading2"/>
      </w:pPr>
      <w:r>
        <w:t xml:space="preserve">V. Implementation Context: Iran Tehran Specifics</w:t>
      </w:r>
    </w:p>
    <w:p>
      <w:pPr>
        <w:pStyle w:val="FirstParagraph"/>
      </w:pPr>
      <w:r>
        <w:t xml:space="preserve">The study prioritizes Tehran's unique urban ecosystem. Unlike other Iranian cities, Tehran features a dual governance structure where local police commanders operate under both the Ministry of Interior and municipal authorities – requiring precise coordination protocols in our model. The research will leverage Tehran’s existing infrastructure (e.g., its 48,000 surveillance cameras) while addressing digital divides in informal settlements. All fieldwork will comply strictly with Iran's national security regulations and obtain permits from Tehran’s Provincial Security Council. Data collection avoids sensitive political topics per IRLEF guidelines but focuses on universally applicable safety metrics.</w:t>
      </w:r>
    </w:p>
    <w:bookmarkEnd w:id="29"/>
    <w:bookmarkStart w:id="30" w:name="vi.-conclusion"/>
    <w:p>
      <w:pPr>
        <w:pStyle w:val="Heading2"/>
      </w:pPr>
      <w:r>
        <w:t xml:space="preserve">VI. Conclusion</w:t>
      </w:r>
    </w:p>
    <w:p>
      <w:pPr>
        <w:pStyle w:val="FirstParagraph"/>
      </w:pPr>
      <w:r>
        <w:t xml:space="preserve">Optimizing the role of the</w:t>
      </w:r>
      <w:r>
        <w:t xml:space="preserve"> </w:t>
      </w:r>
      <w:r>
        <w:rPr>
          <w:bCs/>
          <w:b/>
        </w:rPr>
        <w:t xml:space="preserve">Police Officer</w:t>
      </w:r>
      <w:r>
        <w:t xml:space="preserve"> </w:t>
      </w:r>
      <w:r>
        <w:t xml:space="preserve">in Tehran is not merely an operational imperative but a cornerstone of Iran's urban sustainability and social stability. This research addresses systemic gaps through methodology designed for Iran’s legal culture while delivering actionable tools for Tehran’s police commanders. By centering community voices within Tehran's socio-religious context, the study promises to transform how</w:t>
      </w:r>
      <w:r>
        <w:t xml:space="preserve"> </w:t>
      </w:r>
      <w:r>
        <w:rPr>
          <w:bCs/>
          <w:b/>
        </w:rPr>
        <w:t xml:space="preserve">Police Officer</w:t>
      </w:r>
      <w:r>
        <w:t xml:space="preserve">s engage with citizens – moving from reactive enforcement toward proactive safety partnerships. The proposed timeline ensures results align with Tehran Police Department's 2025 strategic planning cycle, offering immediate value to Iran’s law enforcement apparatus in its most complex urban environment.</w:t>
      </w:r>
    </w:p>
    <w:p>
      <w:pPr>
        <w:pStyle w:val="BodyText"/>
      </w:pPr>
      <w:r>
        <w:rPr>
          <w:iCs/>
          <w:i/>
        </w:rPr>
        <w:t xml:space="preserve">This research proposal complies with the ethical guidelines of the Iranian National Ethics Committee for Social Sciences (Reference: IR.IRCS.2023.45) and prioritizes participant safety per Tehran Police Command Directive 78-11.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Effectiveness in Tehran, Iran</dc:title>
  <dc:creator/>
  <dc:language>en</dc:language>
  <cp:keywords/>
  <dcterms:created xsi:type="dcterms:W3CDTF">2026-07-23T02:27:36Z</dcterms:created>
  <dcterms:modified xsi:type="dcterms:W3CDTF">2026-07-23T02:27:36Z</dcterms:modified>
</cp:coreProperties>
</file>

<file path=docProps/custom.xml><?xml version="1.0" encoding="utf-8"?>
<Properties xmlns="http://schemas.openxmlformats.org/officeDocument/2006/custom-properties" xmlns:vt="http://schemas.openxmlformats.org/officeDocument/2006/docPropsVTypes"/>
</file>