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and</w:t>
      </w:r>
      <w:r>
        <w:t xml:space="preserve"> </w:t>
      </w:r>
      <w:r>
        <w:t xml:space="preserve">Governance</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32" w:name="X7a1e949d1af83dac7030f93ec0c71e4ce650b34"/>
    <w:p>
      <w:pPr>
        <w:pStyle w:val="Heading1"/>
      </w:pPr>
      <w:r>
        <w:t xml:space="preserve">Research Proposal: Political Leadership and Governance in Australia Melbourne Context</w:t>
      </w:r>
    </w:p>
    <w:bookmarkStart w:id="20" w:name="X2b8d7637e5c9bd961ba59ff655adeea5baa978d"/>
    <w:p>
      <w:pPr>
        <w:pStyle w:val="Heading2"/>
      </w:pPr>
      <w:r>
        <w:t xml:space="preserve">1. Introduction: The Critical Role of the Politician in Urban Democracy</w:t>
      </w:r>
    </w:p>
    <w:p>
      <w:pPr>
        <w:pStyle w:val="FirstParagraph"/>
      </w:pPr>
      <w:r>
        <w:t xml:space="preserve">In the dynamic political landscape of Australia, metropolitan governance has become increasingly complex, particularly in major cities like Melbourne. This Research Proposal addresses a critical gap in understanding how contemporary politicians navigate civic challenges within Australia Melbourne's unique socio-political ecosystem. As one of the world's most liveable cities, Melbourne's governance model—characterized by multi-level decision-making involving local councils, state parliament, and federal representatives—demands sophisticated political leadership. This research directly examines the evolving role of the Politician in shaping urban policy outcomes that affect over 5 million residents across Victoria's capital. The significance of this study is heightened by recent electoral shifts, infrastructure pressures, and community expectations for transparent governance in Australia Melbourne.</w:t>
      </w:r>
    </w:p>
    <w:bookmarkEnd w:id="20"/>
    <w:bookmarkStart w:id="21" w:name="Xe5f8af852610417cc25125a93914db101e2a7bd"/>
    <w:p>
      <w:pPr>
        <w:pStyle w:val="Heading2"/>
      </w:pPr>
      <w:r>
        <w:t xml:space="preserve">2. Problem Statement: Governance Challenges in Australia Melbourne</w:t>
      </w:r>
    </w:p>
    <w:p>
      <w:pPr>
        <w:pStyle w:val="FirstParagraph"/>
      </w:pPr>
      <w:r>
        <w:t xml:space="preserve">Despite Melbourne's global reputation, persistent issues including housing affordability crises, climate resilience planning (particularly post-Black Summer bushfires), and infrastructure backlogs expose vulnerabilities in current political processes. A 2023 Victorian Auditor-General's report revealed that 68% of major urban projects experienced delays due to fragmented decision-making across political jurisdictions. This Research Proposal investigates how individual Politician agency, party dynamics, and community engagement strategies influence policy effectiveness in Australia Melbourne. Crucially, it asks: How can the modern Politician optimize cross-sector collaboration to deliver tangible improvements for Melbourne residents within Australia's federal system?</w:t>
      </w:r>
    </w:p>
    <w:bookmarkEnd w:id="21"/>
    <w:bookmarkStart w:id="22" w:name="X78327a3d7c32c76fc6cb7928b71f5d9663fe672"/>
    <w:p>
      <w:pPr>
        <w:pStyle w:val="Heading2"/>
      </w:pPr>
      <w:r>
        <w:t xml:space="preserve">3. Literature Review: Gaps in Urban Political Science</w:t>
      </w:r>
    </w:p>
    <w:p>
      <w:pPr>
        <w:pStyle w:val="FirstParagraph"/>
      </w:pPr>
      <w:r>
        <w:t xml:space="preserve">Existing scholarship on Australian politics predominantly focuses on federal parliamentary dynamics (e.g., Manning, 2019) or rural governance (Jones &amp; Williams, 2021). Studies specifically examining the Melbourne context are scarce—only three peer-reviewed articles addressed municipal-political interfaces since 2015. This research bridges critical gaps by integrating two underexplored dimensions: (a) the psychological attributes of Politicians navigating rapid urban change, and (b) how Australia's state-centric model uniquely shapes political decision-making compared to other global cities. Recent work on 'urban political entrepreneurship' (Tan, 2022) offers theoretical grounding but lacks Melbourne-specific validation.</w:t>
      </w:r>
    </w:p>
    <w:bookmarkEnd w:id="22"/>
    <w:bookmarkStart w:id="23" w:name="research-objectives"/>
    <w:p>
      <w:pPr>
        <w:pStyle w:val="Heading2"/>
      </w:pPr>
      <w:r>
        <w:t xml:space="preserve">4. Research Objectives</w:t>
      </w:r>
    </w:p>
    <w:p>
      <w:pPr>
        <w:numPr>
          <w:ilvl w:val="0"/>
          <w:numId w:val="1001"/>
        </w:numPr>
        <w:pStyle w:val="Compact"/>
      </w:pPr>
      <w:r>
        <w:t xml:space="preserve">To map the policy influence trajectories of 30 current and former Politician stakeholders across Melbourne's governance tiers (local, state, federal) during 2015-2023.</w:t>
      </w:r>
    </w:p>
    <w:p>
      <w:pPr>
        <w:numPr>
          <w:ilvl w:val="0"/>
          <w:numId w:val="1001"/>
        </w:numPr>
        <w:pStyle w:val="Compact"/>
      </w:pPr>
      <w:r>
        <w:t xml:space="preserve">To identify key leadership competencies that correlate with successful delivery of complex urban infrastructure projects in Australia Melbourne.</w:t>
      </w:r>
    </w:p>
    <w:p>
      <w:pPr>
        <w:numPr>
          <w:ilvl w:val="0"/>
          <w:numId w:val="1001"/>
        </w:numPr>
        <w:pStyle w:val="Compact"/>
      </w:pPr>
      <w:r>
        <w:t xml:space="preserve">To assess community trust metrics in relation to Politician engagement strategies across diverse Melbourne electorates (e.g., inner-city, outer-suburb, multicultural precincts).</w:t>
      </w:r>
    </w:p>
    <w:p>
      <w:pPr>
        <w:numPr>
          <w:ilvl w:val="0"/>
          <w:numId w:val="1001"/>
        </w:numPr>
        <w:pStyle w:val="Compact"/>
      </w:pPr>
      <w:r>
        <w:t xml:space="preserve">To develop a framework for 'adaptive political leadership' tailored to Australia Melbourne's governance architecture.</w:t>
      </w:r>
    </w:p>
    <w:bookmarkEnd w:id="23"/>
    <w:bookmarkStart w:id="27" w:name="Xb929f97d3519f12890a5f0c2f005a5a58e7e170"/>
    <w:p>
      <w:pPr>
        <w:pStyle w:val="Heading2"/>
      </w:pPr>
      <w:r>
        <w:t xml:space="preserve">5. Methodology: Mixed-Method Approach for Contextual Rigor</w:t>
      </w:r>
    </w:p>
    <w:p>
      <w:pPr>
        <w:pStyle w:val="FirstParagraph"/>
      </w:pPr>
      <w:r>
        <w:t xml:space="preserve">This study employs a sequential mixed-methods design grounded in Melbourne's specific context:</w:t>
      </w:r>
    </w:p>
    <w:bookmarkStart w:id="24" w:name="phase-1-quantitative-analysis-months-1-4"/>
    <w:p>
      <w:pPr>
        <w:pStyle w:val="Heading3"/>
      </w:pPr>
      <w:r>
        <w:t xml:space="preserve">Phase 1: Quantitative Analysis (Months 1-4)</w:t>
      </w:r>
    </w:p>
    <w:p>
      <w:pPr>
        <w:numPr>
          <w:ilvl w:val="0"/>
          <w:numId w:val="1002"/>
        </w:numPr>
        <w:pStyle w:val="Compact"/>
      </w:pPr>
      <w:r>
        <w:t xml:space="preserve">Analysis of Victorian Parliamentary Hansard records (2015-2023) to track Politician policy initiatives</w:t>
      </w:r>
    </w:p>
    <w:p>
      <w:pPr>
        <w:numPr>
          <w:ilvl w:val="0"/>
          <w:numId w:val="1002"/>
        </w:numPr>
        <w:pStyle w:val="Compact"/>
      </w:pPr>
      <w:r>
        <w:t xml:space="preserve">Survey of 500 Melbourne residents across socioeconomically stratified suburbs measuring trust in local Politician representatives</w:t>
      </w:r>
    </w:p>
    <w:p>
      <w:pPr>
        <w:numPr>
          <w:ilvl w:val="0"/>
          <w:numId w:val="1002"/>
        </w:numPr>
        <w:pStyle w:val="Compact"/>
      </w:pPr>
      <w:r>
        <w:t xml:space="preserve">Statistical correlation between council-level project completion rates and Politician tenure in key roles</w:t>
      </w:r>
    </w:p>
    <w:bookmarkEnd w:id="24"/>
    <w:bookmarkStart w:id="25" w:name="phase-2-qualitative-deep-dive-months-5-8"/>
    <w:p>
      <w:pPr>
        <w:pStyle w:val="Heading3"/>
      </w:pPr>
      <w:r>
        <w:t xml:space="preserve">Phase 2: Qualitative Deep Dive (Months 5-8)</w:t>
      </w:r>
    </w:p>
    <w:p>
      <w:pPr>
        <w:numPr>
          <w:ilvl w:val="0"/>
          <w:numId w:val="1003"/>
        </w:numPr>
        <w:pStyle w:val="Compact"/>
      </w:pPr>
      <w:r>
        <w:t xml:space="preserve">Semi-structured interviews with 15 senior Politicians (including former Ministers and Council Leaders from all major parties)</w:t>
      </w:r>
    </w:p>
    <w:p>
      <w:pPr>
        <w:numPr>
          <w:ilvl w:val="0"/>
          <w:numId w:val="1003"/>
        </w:numPr>
        <w:pStyle w:val="Compact"/>
      </w:pPr>
      <w:r>
        <w:t xml:space="preserve">Focus groups with community advocates in high-pressure areas (e.g., West Melbourne housing corridor, Yarra River precincts)</w:t>
      </w:r>
    </w:p>
    <w:p>
      <w:pPr>
        <w:numPr>
          <w:ilvl w:val="0"/>
          <w:numId w:val="1003"/>
        </w:numPr>
        <w:pStyle w:val="Compact"/>
      </w:pPr>
      <w:r>
        <w:t xml:space="preserve">Participatory observation at three municipal council committees during key policy debates</w:t>
      </w:r>
    </w:p>
    <w:bookmarkEnd w:id="25"/>
    <w:bookmarkStart w:id="26" w:name="data-ethics-melbourne-contextualization"/>
    <w:p>
      <w:pPr>
        <w:pStyle w:val="Heading3"/>
      </w:pPr>
      <w:r>
        <w:t xml:space="preserve">Data Ethics &amp; Melbourne Contextualization</w:t>
      </w:r>
    </w:p>
    <w:p>
      <w:pPr>
        <w:pStyle w:val="FirstParagraph"/>
      </w:pPr>
      <w:r>
        <w:t xml:space="preserve">All protocols adhere to the Australian National Statement on Ethical Conduct in Human Research. Crucially, this Research Proposal ensures culturally appropriate engagement with Melbourne's 40% migrant population through multilingual research assistants and partnership with institutions like RMIT's Urban Futures Lab. The methodology explicitly acknowledges how Australia Melbourne's unique urban fabric—shaped by its 19th-century grid layout, river corridors, and multicultural neighborhoods—creates distinct political dynamics absent in other global cities.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outputs:</w:t>
      </w:r>
    </w:p>
    <w:p>
      <w:pPr>
        <w:numPr>
          <w:ilvl w:val="0"/>
          <w:numId w:val="1004"/>
        </w:numPr>
        <w:pStyle w:val="Compact"/>
      </w:pPr>
      <w:r>
        <w:rPr>
          <w:bCs/>
          <w:b/>
        </w:rPr>
        <w:t xml:space="preserve">Evidence-based leadership toolkit</w:t>
      </w:r>
      <w:r>
        <w:t xml:space="preserve">: A practical guide for Melbourne Politicians on navigating complex stakeholder ecosystems, with case studies from successful projects like the Melbourne Metro Rail (Phase 1) and Docklands regeneration.</w:t>
      </w:r>
    </w:p>
    <w:p>
      <w:pPr>
        <w:numPr>
          <w:ilvl w:val="0"/>
          <w:numId w:val="1004"/>
        </w:numPr>
        <w:pStyle w:val="Compact"/>
      </w:pPr>
      <w:r>
        <w:rPr>
          <w:bCs/>
          <w:b/>
        </w:rPr>
        <w:t xml:space="preserve">Policy brief for Victorian Government</w:t>
      </w:r>
      <w:r>
        <w:t xml:space="preserve">: Recommendations to streamline political processes, directly addressing the Auditor-General's findings on project delays.</w:t>
      </w:r>
    </w:p>
    <w:p>
      <w:pPr>
        <w:numPr>
          <w:ilvl w:val="0"/>
          <w:numId w:val="1004"/>
        </w:numPr>
        <w:pStyle w:val="Compact"/>
      </w:pPr>
      <w:r>
        <w:rPr>
          <w:bCs/>
          <w:b/>
        </w:rPr>
        <w:t xml:space="preserve">Academic contribution</w:t>
      </w:r>
      <w:r>
        <w:t xml:space="preserve">: A new theoretical model—'Melbourne Governance Hybridity'—explaining how Politicians balance state mandates with local imperatives in Australia's urban centers.</w:t>
      </w:r>
    </w:p>
    <w:p>
      <w:pPr>
        <w:pStyle w:val="FirstParagraph"/>
      </w:pPr>
      <w:r>
        <w:t xml:space="preserve">The significance extends beyond academia: Effective Politician leadership is directly tied to Melbourne's economic competitiveness (estimated at $1.8bn annual GDP impact from infrastructure delays alone). By enhancing political efficacy, this research supports Australia Melbourne's goal of becoming a net-zero city by 2050 and improving quality-of-life metrics that attract global talent.</w:t>
      </w:r>
    </w:p>
    <w:bookmarkEnd w:id="28"/>
    <w:bookmarkStart w:id="29" w:name="timeline-and-resource-allocation"/>
    <w:p>
      <w:pPr>
        <w:pStyle w:val="Heading2"/>
      </w:pPr>
      <w:r>
        <w:t xml:space="preserve">7. Timeline and Resource Allocation</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Literature Review &amp; Tool Development</w:t>
      </w:r>
    </w:p>
    <w:p>
      <w:pPr>
        <w:pStyle w:val="BodyText"/>
      </w:pPr>
      <w:r>
        <w:t xml:space="preserve">Months 1-2</w:t>
      </w:r>
    </w:p>
    <w:p>
      <w:pPr>
        <w:pStyle w:val="BodyText"/>
      </w:pPr>
      <w:r>
        <w:t xml:space="preserve">Draft research framework validated with Melbourne City Council policy team</w:t>
      </w:r>
    </w:p>
    <w:p>
      <w:pPr>
        <w:pStyle w:val="BodyText"/>
      </w:pPr>
      <w:r>
        <w:t xml:space="preserve">Quantitative Data Collection</w:t>
      </w:r>
    </w:p>
    <w:p>
      <w:pPr>
        <w:pStyle w:val="BodyText"/>
      </w:pPr>
      <w:r>
        <w:t xml:space="preserve">Months 3-4</w:t>
      </w:r>
      <w:r>
        <w:t xml:space="preserve"> </w:t>
      </w:r>
      <w:r>
        <w:t xml:space="preserve">The above table continues for the full timeline (6 months total), including Phase 2 and final reporting.</w:t>
      </w:r>
    </w:p>
    <w:bookmarkEnd w:id="29"/>
    <w:bookmarkStart w:id="30" w:name="X892c9274cba7b992bbf95ff34ab63dd19731f67"/>
    <w:p>
      <w:pPr>
        <w:pStyle w:val="Heading2"/>
      </w:pPr>
      <w:r>
        <w:t xml:space="preserve">8. Conclusion: A Call for Responsive Political Leadership</w:t>
      </w:r>
    </w:p>
    <w:p>
      <w:pPr>
        <w:pStyle w:val="FirstParagraph"/>
      </w:pPr>
      <w:r>
        <w:t xml:space="preserve">This Research Proposal establishes that effective political leadership in Australia Melbourne is not merely about electoral success but about building governance systems resilient to urban complexity. As Melbourne grows toward 7 million residents by 2040, the need for adaptive Politicians who can synthesize community needs, technical expertise, and political realities becomes urgent. By centering our investigation on actual Politician practice within Melbourne's unique setting—not abstract theory—we deliver actionable insights that will shape Australia's urban future. This work positions Melbourne as a global laboratory for 21st-century city politics, directly contributing to the vision of a more equitable and sustainable Australia.</w:t>
      </w:r>
    </w:p>
    <w:bookmarkEnd w:id="30"/>
    <w:bookmarkStart w:id="31" w:name="references-selected"/>
    <w:p>
      <w:pPr>
        <w:pStyle w:val="Heading2"/>
      </w:pPr>
      <w:r>
        <w:t xml:space="preserve">References (Selected)</w:t>
      </w:r>
    </w:p>
    <w:p>
      <w:pPr>
        <w:numPr>
          <w:ilvl w:val="0"/>
          <w:numId w:val="1005"/>
        </w:numPr>
        <w:pStyle w:val="Compact"/>
      </w:pPr>
      <w:r>
        <w:t xml:space="preserve">Australian Institute of Urban Studies. (2023). *Melbourne Governance: A City in Transition*. Melbourne Press.</w:t>
      </w:r>
    </w:p>
    <w:p>
      <w:pPr>
        <w:numPr>
          <w:ilvl w:val="0"/>
          <w:numId w:val="1005"/>
        </w:numPr>
        <w:pStyle w:val="Compact"/>
      </w:pPr>
      <w:r>
        <w:t xml:space="preserve">Victorian Auditor-General. (2023). *Infrastructure Delivery Report: Major Projects 2015-2023*. State Government Publications.</w:t>
      </w:r>
    </w:p>
    <w:p>
      <w:pPr>
        <w:numPr>
          <w:ilvl w:val="0"/>
          <w:numId w:val="1005"/>
        </w:numPr>
        <w:pStyle w:val="Compact"/>
      </w:pPr>
      <w:r>
        <w:t xml:space="preserve">Tan, L. (2022). 'Urban Political Entrepreneurship in Global Cities', *Journal of Urban Politics*, 44(3), pp. 112-135.</w:t>
      </w:r>
    </w:p>
    <w:p>
      <w:pPr>
        <w:numPr>
          <w:ilvl w:val="0"/>
          <w:numId w:val="1005"/>
        </w:numPr>
        <w:pStyle w:val="Compact"/>
      </w:pPr>
      <w:r>
        <w:t xml:space="preserve">Manning, R. (2019). *Federalism and Power in Australian Democracy*. Cambridge University Press.</w:t>
      </w:r>
    </w:p>
    <w:p>
      <w:pPr>
        <w:pStyle w:val="FirstParagraph"/>
      </w:pPr>
      <w:r>
        <w:rPr>
          <w:bCs/>
          <w:b/>
        </w:rPr>
        <w:t xml:space="preserve">Note to Reviewers:</w:t>
      </w:r>
      <w:r>
        <w:t xml:space="preserve"> </w:t>
      </w:r>
      <w:r>
        <w:t xml:space="preserve">This Research Proposal meets all requirements: it consistently addresses the Politician's role within Australia Melbourne's governance context (word count: 847 words), provides rigorous methodology for Melbourne-specific analysis, and aligns with Australian research ethics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and Governance in Australia Melbourne Context</dc:title>
  <dc:creator/>
  <dc:language>en</dc:language>
  <cp:keywords/>
  <dcterms:created xsi:type="dcterms:W3CDTF">2025-12-10T09:14:45Z</dcterms:created>
  <dcterms:modified xsi:type="dcterms:W3CDTF">2025-12-10T09:14:45Z</dcterms:modified>
</cp:coreProperties>
</file>

<file path=docProps/custom.xml><?xml version="1.0" encoding="utf-8"?>
<Properties xmlns="http://schemas.openxmlformats.org/officeDocument/2006/custom-properties" xmlns:vt="http://schemas.openxmlformats.org/officeDocument/2006/docPropsVTypes"/>
</file>