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Tehran,</w:t>
      </w:r>
      <w:r>
        <w:t xml:space="preserve"> </w:t>
      </w:r>
      <w:r>
        <w:t xml:space="preserve">Iran</w:t>
      </w:r>
    </w:p>
    <w:bookmarkStart w:id="30" w:name="Xf7495d81273ce11c414ab1afd44fbd841f052eb"/>
    <w:p>
      <w:pPr>
        <w:pStyle w:val="Heading1"/>
      </w:pPr>
      <w:r>
        <w:t xml:space="preserve">Research Proposal: Understanding Contemporary Political Leadership Dynamics in Tehran, Iran</w:t>
      </w:r>
    </w:p>
    <w:bookmarkStart w:id="20" w:name="introduction-and-background"/>
    <w:p>
      <w:pPr>
        <w:pStyle w:val="Heading2"/>
      </w:pPr>
      <w:r>
        <w:t xml:space="preserve">1. Introduction and Background</w:t>
      </w:r>
    </w:p>
    <w:p>
      <w:pPr>
        <w:pStyle w:val="FirstParagraph"/>
      </w:pPr>
      <w:r>
        <w:t xml:space="preserve">The political landscape of Iran represents a complex interplay between traditional governance structures and evolving societal demands. As the capital city and political epicenter of Iran, Tehran serves as a critical laboratory for studying the behavior, influence, and challenges faced by contemporary politicians in an Islamic Republic context. This</w:t>
      </w:r>
      <w:r>
        <w:t xml:space="preserve"> </w:t>
      </w:r>
      <w:r>
        <w:rPr>
          <w:bCs/>
          <w:b/>
        </w:rPr>
        <w:t xml:space="preserve">Research Proposal</w:t>
      </w:r>
      <w:r>
        <w:t xml:space="preserve"> </w:t>
      </w:r>
      <w:r>
        <w:t xml:space="preserve">addresses a significant gap in academic literature regarding how</w:t>
      </w:r>
      <w:r>
        <w:t xml:space="preserve"> </w:t>
      </w:r>
      <w:r>
        <w:rPr>
          <w:iCs/>
          <w:i/>
        </w:rPr>
        <w:t xml:space="preserve">politician</w:t>
      </w:r>
      <w:r>
        <w:t xml:space="preserve">-citizen dynamics function within Tehran's unique socio-political ecosystem. With Iran's political system navigating internal reforms and external pressures, understanding the operational realities of local governance in Tehran becomes essential for both scholarly analysis and policy development. This study will examine the intersection of institutional frameworks, electoral politics, and civic engagement through the lens of Tehran-based politicians.</w:t>
      </w:r>
    </w:p>
    <w:bookmarkEnd w:id="20"/>
    <w:bookmarkStart w:id="21" w:name="problem-statement"/>
    <w:p>
      <w:pPr>
        <w:pStyle w:val="Heading2"/>
      </w:pPr>
      <w:r>
        <w:t xml:space="preserve">2. Problem Statement</w:t>
      </w:r>
    </w:p>
    <w:p>
      <w:pPr>
        <w:pStyle w:val="FirstParagraph"/>
      </w:pPr>
      <w:r>
        <w:t xml:space="preserve">Despite Iran's geopolitical significance, comprehensive empirical research on urban political leadership in Tehran remains scarce. Existing studies often focus on national-level politics while neglecting how local politicians navigate the intricate balance between Tehran's diverse population (over 9 million residents), central government directives, and grassroots expectations. This gap impedes effective policy design for a city that serves as Iran's administrative, economic, and cultural nucleus. The lack of nuanced understanding of</w:t>
      </w:r>
      <w:r>
        <w:t xml:space="preserve"> </w:t>
      </w:r>
      <w:r>
        <w:rPr>
          <w:iCs/>
          <w:i/>
        </w:rPr>
        <w:t xml:space="preserve">politician</w:t>
      </w:r>
      <w:r>
        <w:t xml:space="preserve"> </w:t>
      </w:r>
      <w:r>
        <w:t xml:space="preserve">behavior in Tehran's specific context—where conservative institutions coexist with progressive urban demographics—hampers efforts to address critical issues like urban inequality, environmental sustainability (particularly air quality challenges), and civic participation mechanisms.</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pathways and personal networks through which Tehran-based politicians operate within Iran's dual governance structure (Islamic Republic framework + municipal administration).</w:t>
      </w:r>
    </w:p>
    <w:p>
      <w:pPr>
        <w:numPr>
          <w:ilvl w:val="0"/>
          <w:numId w:val="1001"/>
        </w:numPr>
        <w:pStyle w:val="Compact"/>
      </w:pPr>
      <w:r>
        <w:t xml:space="preserve">To analyze how political identity (conservative, reformist, technocrat) influences policy priorities on urban issues such as transportation infrastructure, housing affordability, and public health initiatives.</w:t>
      </w:r>
    </w:p>
    <w:p>
      <w:pPr>
        <w:numPr>
          <w:ilvl w:val="0"/>
          <w:numId w:val="1001"/>
        </w:numPr>
        <w:pStyle w:val="Compact"/>
      </w:pPr>
      <w:r>
        <w:t xml:space="preserve">To assess the evolving relationship between Tehran's politicians and citizenry through digital engagement platforms versus traditional community-based interactions.</w:t>
      </w:r>
    </w:p>
    <w:p>
      <w:pPr>
        <w:numPr>
          <w:ilvl w:val="0"/>
          <w:numId w:val="1001"/>
        </w:numPr>
        <w:pStyle w:val="Compact"/>
      </w:pPr>
      <w:r>
        <w:t xml:space="preserve">To identify barriers to effective governance faced by local politicians when implementing national policies within Tehran's distinct urban context.</w:t>
      </w:r>
    </w:p>
    <w:bookmarkEnd w:id="22"/>
    <w:bookmarkStart w:id="23" w:name="literature-review"/>
    <w:p>
      <w:pPr>
        <w:pStyle w:val="Heading2"/>
      </w:pPr>
      <w:r>
        <w:t xml:space="preserve">4. Literature Review</w:t>
      </w:r>
    </w:p>
    <w:p>
      <w:pPr>
        <w:pStyle w:val="FirstParagraph"/>
      </w:pPr>
      <w:r>
        <w:t xml:space="preserve">Current scholarship on Iranian politics predominantly focuses on presidential elections or parliamentary dynamics (e.g., Aghajanian, 2018; Rahnema, 2019). Studies of Tehran-specific governance remain fragmented: Hassanpour (2020) examined municipal budgeting but overlooked political agency, while Gharib and Fathi (2021) analyzed protest movements without addressing politician responsiveness. Notably absent is research on how</w:t>
      </w:r>
      <w:r>
        <w:t xml:space="preserve"> </w:t>
      </w:r>
      <w:r>
        <w:rPr>
          <w:iCs/>
          <w:i/>
        </w:rPr>
        <w:t xml:space="preserve">politician</w:t>
      </w:r>
      <w:r>
        <w:t xml:space="preserve">s in Iran's capital negotiate between Tehran's cosmopolitan electorate and the Islamic Republic's ideological constraints. This proposal builds on the work of Alaghehband (2017) regarding urban governance but extends it by centering Tehran as a case study for broader Iranian political leadership analysis.</w:t>
      </w:r>
    </w:p>
    <w:bookmarkEnd w:id="23"/>
    <w:bookmarkStart w:id="24" w:name="methodology"/>
    <w:p>
      <w:pPr>
        <w:pStyle w:val="Heading2"/>
      </w:pPr>
      <w:r>
        <w:t xml:space="preserve">5. Methodology</w:t>
      </w:r>
    </w:p>
    <w:p>
      <w:pPr>
        <w:pStyle w:val="FirstParagraph"/>
      </w:pPr>
      <w:r>
        <w:t xml:space="preserve">This mixed-methods study will deploy triangulated approaches across Iran's Tehran:</w:t>
      </w:r>
    </w:p>
    <w:p>
      <w:pPr>
        <w:numPr>
          <w:ilvl w:val="0"/>
          <w:numId w:val="1002"/>
        </w:numPr>
        <w:pStyle w:val="Compact"/>
      </w:pPr>
      <w:r>
        <w:rPr>
          <w:bCs/>
          <w:b/>
        </w:rPr>
        <w:t xml:space="preserve">Qualitative Component:</w:t>
      </w:r>
      <w:r>
        <w:t xml:space="preserve"> </w:t>
      </w:r>
      <w:r>
        <w:t xml:space="preserve">In-depth interviews with 30+ Tehran-based politicians (including city council members, mayoral candidates, and deputies) and focus groups with 15 community leaders from diverse neighborhoods (Tehran-1 to Tehran-22). Questions will probe decision-making processes on local issues.</w:t>
      </w:r>
    </w:p>
    <w:p>
      <w:pPr>
        <w:numPr>
          <w:ilvl w:val="0"/>
          <w:numId w:val="1002"/>
        </w:numPr>
        <w:pStyle w:val="Compact"/>
      </w:pPr>
      <w:r>
        <w:rPr>
          <w:bCs/>
          <w:b/>
        </w:rPr>
        <w:t xml:space="preserve">Quantitative Component:</w:t>
      </w:r>
      <w:r>
        <w:t xml:space="preserve"> </w:t>
      </w:r>
      <w:r>
        <w:t xml:space="preserve">Survey of 800 Tehran citizens assessing perceptions of political responsiveness across different factions, using a Likert-scale instrument measuring trust in local politicians on urban service delivery.</w:t>
      </w:r>
    </w:p>
    <w:p>
      <w:pPr>
        <w:numPr>
          <w:ilvl w:val="0"/>
          <w:numId w:val="1002"/>
        </w:numPr>
        <w:pStyle w:val="Compact"/>
      </w:pPr>
      <w:r>
        <w:rPr>
          <w:bCs/>
          <w:b/>
        </w:rPr>
        <w:t xml:space="preserve">Document Analysis:</w:t>
      </w:r>
      <w:r>
        <w:t xml:space="preserve"> </w:t>
      </w:r>
      <w:r>
        <w:t xml:space="preserve">Review of Tehran City Council meeting minutes (2019-2023), municipal project reports, and social media engagement metrics from prominent Tehran politicians' official accounts.</w:t>
      </w:r>
    </w:p>
    <w:p>
      <w:pPr>
        <w:pStyle w:val="FirstParagraph"/>
      </w:pPr>
      <w:r>
        <w:t xml:space="preserve">All data collection will comply with Iranian ethical review standards. Fieldwork will be conducted through local academic partners affiliated with the University of Tehran's School of Political Science to ensure cultural contextualization. Digital tools will supplement in-person interviews due to practical constraints, maintaining rigorous qualitative protocols.</w:t>
      </w:r>
    </w:p>
    <w:bookmarkEnd w:id="24"/>
    <w:bookmarkStart w:id="25" w:name="expected-contributions"/>
    <w:p>
      <w:pPr>
        <w:pStyle w:val="Heading2"/>
      </w:pPr>
      <w:r>
        <w:t xml:space="preserve">6. Expected Contributions</w:t>
      </w:r>
    </w:p>
    <w:p>
      <w:pPr>
        <w:pStyle w:val="FirstParagraph"/>
      </w:pPr>
      <w:r>
        <w:t xml:space="preserve">This research promises three significant contributions:</w:t>
      </w:r>
    </w:p>
    <w:p>
      <w:pPr>
        <w:numPr>
          <w:ilvl w:val="0"/>
          <w:numId w:val="1003"/>
        </w:numPr>
        <w:pStyle w:val="Compact"/>
      </w:pPr>
      <w:r>
        <w:rPr>
          <w:bCs/>
          <w:b/>
        </w:rPr>
        <w:t xml:space="preserve">Theoretical:</w:t>
      </w:r>
      <w:r>
        <w:t xml:space="preserve"> </w:t>
      </w:r>
      <w:r>
        <w:t xml:space="preserve">It will develop a context-specific framework for understanding "urban political agency" within Iran's unique governance architecture, moving beyond generic models of Middle Eastern politics.</w:t>
      </w:r>
    </w:p>
    <w:p>
      <w:pPr>
        <w:numPr>
          <w:ilvl w:val="0"/>
          <w:numId w:val="1003"/>
        </w:numPr>
        <w:pStyle w:val="Compact"/>
      </w:pPr>
      <w:r>
        <w:rPr>
          <w:bCs/>
          <w:b/>
        </w:rPr>
        <w:t xml:space="preserve">Practical:</w:t>
      </w:r>
      <w:r>
        <w:t xml:space="preserve"> </w:t>
      </w:r>
      <w:r>
        <w:t xml:space="preserve">Findings will directly inform Tehran municipality's policy design through evidence-based recommendations on civic engagement strategies and resource allocation for priority areas like air quality mitigation.</w:t>
      </w:r>
    </w:p>
    <w:p>
      <w:pPr>
        <w:numPr>
          <w:ilvl w:val="0"/>
          <w:numId w:val="1003"/>
        </w:numPr>
        <w:pStyle w:val="Compact"/>
      </w:pPr>
      <w:r>
        <w:rPr>
          <w:bCs/>
          <w:b/>
        </w:rPr>
        <w:t xml:space="preserve">Pedagogical:</w:t>
      </w:r>
      <w:r>
        <w:t xml:space="preserve"> </w:t>
      </w:r>
      <w:r>
        <w:t xml:space="preserve">The study will produce a comprehensive dataset on Tehran politician-citizen interactions for future academic research, filling a critical void in Iranian political science scholarship.</w:t>
      </w:r>
    </w:p>
    <w:p>
      <w:pPr>
        <w:pStyle w:val="FirstParagraph"/>
      </w:pPr>
      <w:r>
        <w:t xml:space="preserve">Crucially, this</w:t>
      </w:r>
      <w:r>
        <w:t xml:space="preserve"> </w:t>
      </w:r>
      <w:r>
        <w:rPr>
          <w:iCs/>
          <w:i/>
        </w:rPr>
        <w:t xml:space="preserve">Research Proposal</w:t>
      </w:r>
      <w:r>
        <w:t xml:space="preserve"> </w:t>
      </w:r>
      <w:r>
        <w:t xml:space="preserve">positions Tehran not merely as a city but as the vital political microcosm where Iran's governance challenges are most intensely played out. Understanding the politician in Tehran reveals patterns applicable to other major cities within Iran's federal framework.</w:t>
      </w:r>
    </w:p>
    <w:bookmarkEnd w:id="25"/>
    <w:bookmarkStart w:id="26" w:name="X18cae63ba4186a0a5118bf6ae3db73e5b4552ee"/>
    <w:p>
      <w:pPr>
        <w:pStyle w:val="Heading2"/>
      </w:pPr>
      <w:r>
        <w:t xml:space="preserve">7. Significance for Iran and Global Scholarship</w:t>
      </w:r>
    </w:p>
    <w:p>
      <w:pPr>
        <w:pStyle w:val="FirstParagraph"/>
      </w:pPr>
      <w:r>
        <w:t xml:space="preserve">The strategic importance of this study extends beyond academic circles. For policymakers in Tehran, insights into how local politicians navigate competing demands could catalyze more responsive urban governance—directly impacting millions of residents daily. For international relations scholars, the research offers a rare opportunity to study political adaptation within an authoritarian system where civic engagement channels exist but remain constrained.</w:t>
      </w:r>
    </w:p>
    <w:p>
      <w:pPr>
        <w:pStyle w:val="BodyText"/>
      </w:pPr>
      <w:r>
        <w:t xml:space="preserve">Moreover, this</w:t>
      </w:r>
      <w:r>
        <w:t xml:space="preserve"> </w:t>
      </w:r>
      <w:r>
        <w:rPr>
          <w:bCs/>
          <w:b/>
        </w:rPr>
        <w:t xml:space="preserve">Research Proposal</w:t>
      </w:r>
      <w:r>
        <w:t xml:space="preserve"> </w:t>
      </w:r>
      <w:r>
        <w:t xml:space="preserve">addresses a critical need for evidence-based analysis of Iran's political trajectory. As global attention focuses on Tehran's role in regional diplomacy, understanding the internal dynamics of its political class provides indispensable context for interpreting national decision-making. The term "politician" in this study deliberately avoids ideological labeling to maintain academic neutrality while examining how individuals operate within Iran's distinctive system.</w:t>
      </w:r>
    </w:p>
    <w:bookmarkEnd w:id="26"/>
    <w:bookmarkStart w:id="27" w:name="conclusion"/>
    <w:p>
      <w:pPr>
        <w:pStyle w:val="Heading2"/>
      </w:pPr>
      <w:r>
        <w:t xml:space="preserve">8. Conclusion</w:t>
      </w:r>
    </w:p>
    <w:p>
      <w:pPr>
        <w:pStyle w:val="FirstParagraph"/>
      </w:pPr>
      <w:r>
        <w:t xml:space="preserve">This research represents a timely and necessary investigation into the lived realities of political leadership in Iran's capital. By centering Tehran as both location and conceptual lens, this project will generate actionable knowledge about how politicians function within Iran's complex governance environment. The proposed methodology ensures culturally grounded data collection that respects Iranian academic protocols while meeting rigorous international standards. As Iran continues to evolve politically, understanding the role of the</w:t>
      </w:r>
      <w:r>
        <w:t xml:space="preserve"> </w:t>
      </w:r>
      <w:r>
        <w:rPr>
          <w:iCs/>
          <w:i/>
        </w:rPr>
        <w:t xml:space="preserve">politician</w:t>
      </w:r>
      <w:r>
        <w:t xml:space="preserve"> </w:t>
      </w:r>
      <w:r>
        <w:t xml:space="preserve">in Tehran—not as a national figurehead but as an urban problem-solver—is increasingly vital. This</w:t>
      </w:r>
      <w:r>
        <w:t xml:space="preserve"> </w:t>
      </w:r>
      <w:r>
        <w:rPr>
          <w:bCs/>
          <w:b/>
        </w:rPr>
        <w:t xml:space="preserve">Research Proposal</w:t>
      </w:r>
      <w:r>
        <w:t xml:space="preserve"> </w:t>
      </w:r>
      <w:r>
        <w:t xml:space="preserve">thus serves not only as an academic blueprint but also as a practical foundation for enhancing civic governance in one of the world's most significant metropolitan centers.</w:t>
      </w:r>
    </w:p>
    <w:bookmarkEnd w:id="27"/>
    <w:bookmarkStart w:id="28" w:name="timeline-18-month-project"/>
    <w:p>
      <w:pPr>
        <w:pStyle w:val="Heading2"/>
      </w:pPr>
      <w:r>
        <w:t xml:space="preserve">9. Timeline (18-Month Project)</w:t>
      </w:r>
    </w:p>
    <w:p>
      <w:pPr>
        <w:numPr>
          <w:ilvl w:val="0"/>
          <w:numId w:val="1004"/>
        </w:numPr>
        <w:pStyle w:val="Compact"/>
      </w:pPr>
      <w:r>
        <w:rPr>
          <w:bCs/>
          <w:b/>
        </w:rPr>
        <w:t xml:space="preserve">Months 1-3:</w:t>
      </w:r>
      <w:r>
        <w:t xml:space="preserve"> </w:t>
      </w:r>
      <w:r>
        <w:t xml:space="preserve">Literature review, ethics approval, partner institution coordination with Tehran University</w:t>
      </w:r>
    </w:p>
    <w:p>
      <w:pPr>
        <w:numPr>
          <w:ilvl w:val="0"/>
          <w:numId w:val="1004"/>
        </w:numPr>
        <w:pStyle w:val="Compact"/>
      </w:pPr>
      <w:r>
        <w:rPr>
          <w:bCs/>
          <w:b/>
        </w:rPr>
        <w:t xml:space="preserve">Months 4-9:</w:t>
      </w:r>
      <w:r>
        <w:t xml:space="preserve"> </w:t>
      </w:r>
      <w:r>
        <w:t xml:space="preserve">Data collection (interviews, surveys, document analysis)</w:t>
      </w:r>
    </w:p>
    <w:p>
      <w:pPr>
        <w:numPr>
          <w:ilvl w:val="0"/>
          <w:numId w:val="1004"/>
        </w:numPr>
        <w:pStyle w:val="Compact"/>
      </w:pPr>
      <w:r>
        <w:rPr>
          <w:bCs/>
          <w:b/>
        </w:rPr>
        <w:t xml:space="preserve">Months 10-12:</w:t>
      </w:r>
      <w:r>
        <w:t xml:space="preserve"> </w:t>
      </w:r>
      <w:r>
        <w:t xml:space="preserve">Qualitative coding and quantitative analysis</w:t>
      </w:r>
    </w:p>
    <w:p>
      <w:pPr>
        <w:numPr>
          <w:ilvl w:val="0"/>
          <w:numId w:val="1004"/>
        </w:numPr>
        <w:pStyle w:val="Compact"/>
      </w:pPr>
      <w:r>
        <w:rPr>
          <w:bCs/>
          <w:b/>
        </w:rPr>
        <w:t xml:space="preserve">Months 13-15:</w:t>
      </w:r>
      <w:r>
        <w:t xml:space="preserve"> </w:t>
      </w:r>
      <w:r>
        <w:t xml:space="preserve">Drafting policy briefs for Tehran municipality</w:t>
      </w:r>
    </w:p>
    <w:p>
      <w:pPr>
        <w:numPr>
          <w:ilvl w:val="0"/>
          <w:numId w:val="1004"/>
        </w:numPr>
        <w:pStyle w:val="Compact"/>
      </w:pPr>
      <w:r>
        <w:rPr>
          <w:bCs/>
          <w:b/>
        </w:rPr>
        <w:t xml:space="preserve">Months 16-18:</w:t>
      </w:r>
      <w:r>
        <w:t xml:space="preserve"> </w:t>
      </w:r>
      <w:r>
        <w:t xml:space="preserve">Final report, academic publication, and conference presentation in Tehran</w:t>
      </w:r>
    </w:p>
    <w:bookmarkEnd w:id="28"/>
    <w:bookmarkStart w:id="29" w:name="references-selected"/>
    <w:p>
      <w:pPr>
        <w:pStyle w:val="Heading2"/>
      </w:pPr>
      <w:r>
        <w:t xml:space="preserve">References (Selected)</w:t>
      </w:r>
    </w:p>
    <w:p>
      <w:pPr>
        <w:pStyle w:val="FirstParagraph"/>
      </w:pPr>
      <w:r>
        <w:t xml:space="preserve">Aghajanian, M. (2018). *Iranian Electoral Politics*. Cambridge University Press.</w:t>
      </w:r>
      <w:r>
        <w:br/>
      </w:r>
      <w:r>
        <w:t xml:space="preserve">Alaghehband, A. (2017). Urban Governance in the Islamic Republic of Iran. *Middle East Journal*, 71(3), 345-362.</w:t>
      </w:r>
      <w:r>
        <w:br/>
      </w:r>
      <w:r>
        <w:t xml:space="preserve">Hassanpour, R. (2020). Budgetary Politics in Tehran Municipality. *Iranian Journal of Public Administration*, 8(2), 112-130.</w:t>
      </w:r>
      <w:r>
        <w:br/>
      </w:r>
      <w:r>
        <w:t xml:space="preserve">Rahnema, A. (Ed.). (2019). *Iran's Political System: Evolution and Challenges*. I.B. Tauris.</w:t>
      </w:r>
    </w:p>
    <w:bookmarkEnd w:id="29"/>
    <w:p>
      <w:pPr>
        <w:pStyle w:val="BodyText"/>
      </w:pPr>
      <w:r>
        <w:rPr>
          <w:iCs/>
          <w:i/>
        </w:rPr>
        <w:t xml:space="preserve">Word Count: 987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Tehran, Iran</dc:title>
  <dc:creator/>
  <dc:language>en</dc:language>
  <cp:keywords/>
  <dcterms:created xsi:type="dcterms:W3CDTF">2026-07-23T01:01:10Z</dcterms:created>
  <dcterms:modified xsi:type="dcterms:W3CDTF">2026-07-23T01:01:10Z</dcterms:modified>
</cp:coreProperties>
</file>

<file path=docProps/custom.xml><?xml version="1.0" encoding="utf-8"?>
<Properties xmlns="http://schemas.openxmlformats.org/officeDocument/2006/custom-properties" xmlns:vt="http://schemas.openxmlformats.org/officeDocument/2006/docPropsVTypes"/>
</file>