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Engagement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Kyoto,</w:t>
      </w:r>
      <w:r>
        <w:t xml:space="preserve"> </w:t>
      </w:r>
      <w:r>
        <w:t xml:space="preserve">Japan</w:t>
      </w:r>
    </w:p>
    <w:bookmarkStart w:id="29" w:name="X6c5ab47d35439af4afc6a965102bccd9777afe6"/>
    <w:p>
      <w:pPr>
        <w:pStyle w:val="Heading1"/>
      </w:pPr>
      <w:r>
        <w:t xml:space="preserve">Research Proposal: Navigating Tradition and Modernity: A Study of Local Politician Strategies in Kyoto, Japan</w:t>
      </w:r>
    </w:p>
    <w:bookmarkStart w:id="20" w:name="abstract"/>
    <w:p>
      <w:pPr>
        <w:pStyle w:val="Heading2"/>
      </w:pPr>
      <w:r>
        <w:t xml:space="preserve">Abstract</w:t>
      </w:r>
    </w:p>
    <w:p>
      <w:pPr>
        <w:pStyle w:val="FirstParagraph"/>
      </w:pPr>
      <w:r>
        <w:t xml:space="preserve">This research proposal outlines a comprehensive study examining the political strategies, challenges, and adaptive mechanisms of local politicians operating within the unique socio-cultural landscape of Kyoto, Japan. Focusing on mayoral elections, municipal council dynamics, and policy implementation concerning cultural preservation versus urban development, this project seeks to uncover how politicians navigate Kyoto's identity as both a UNESCO World Heritage site and a modern metropolis. The study will employ mixed methods—ethnographic observation, semi-structured interviews with 30+ local policymakers, and discourse analysis of municipal policies—to generate actionable insights for sustainable governance in Japan's culturally sensitive urban centers.</w:t>
      </w:r>
    </w:p>
    <w:bookmarkEnd w:id="20"/>
    <w:bookmarkStart w:id="21" w:name="X606ff5a548ece4408d8e8965b649f19aa3475f1"/>
    <w:p>
      <w:pPr>
        <w:pStyle w:val="Heading2"/>
      </w:pPr>
      <w:r>
        <w:t xml:space="preserve">1. Introduction: The Significance of Kyoto in Japanese Political Ecology</w:t>
      </w:r>
    </w:p>
    <w:p>
      <w:pPr>
        <w:pStyle w:val="FirstParagraph"/>
      </w:pPr>
      <w:r>
        <w:t xml:space="preserve">Japan Kyoto stands as a symbolic cornerstone of national heritage, housing over 1,600 temples and 40 traditional districts (machiya). Yet beneath its serene surface lies a complex political ecosystem where local politicians grapple with unprecedented pressures: balancing tourism-driven economic demands with the preservation of cultural authenticity amid Japan's rapidly aging population. This research directly addresses a critical gap in Japanese political science literature, which overwhelmingly focuses on national-level politics while neglecting how</w:t>
      </w:r>
      <w:r>
        <w:t xml:space="preserve"> </w:t>
      </w:r>
      <w:r>
        <w:rPr>
          <w:bCs/>
          <w:b/>
        </w:rPr>
        <w:t xml:space="preserve">politician</w:t>
      </w:r>
      <w:r>
        <w:t xml:space="preserve"> </w:t>
      </w:r>
      <w:r>
        <w:t xml:space="preserve">efficacy manifests in historically dense urban settings like Kyoto. Understanding these dynamics is not merely academic—it informs Japan's broader national strategy for preserving cultural capital while fostering inclusive growth.</w:t>
      </w:r>
    </w:p>
    <w:bookmarkEnd w:id="21"/>
    <w:bookmarkStart w:id="22" w:name="research-problem-and-objectives"/>
    <w:p>
      <w:pPr>
        <w:pStyle w:val="Heading2"/>
      </w:pPr>
      <w:r>
        <w:t xml:space="preserve">2. Research Problem and Objectives</w:t>
      </w:r>
    </w:p>
    <w:p>
      <w:pPr>
        <w:pStyle w:val="FirstParagraph"/>
      </w:pPr>
      <w:r>
        <w:t xml:space="preserve">The central problem this study tackles is the declining public trust in local governance within Kyoto, evidenced by voter abstention rates exceeding 45% in recent municipal elections (Kyoto City Statistics Office, 2023). Local politicians face a dual mandate: appease international tourists generating ¥1.8 trillion annually for Kyoto's economy while protecting residents from overtourism’s strain on infrastructure and community life. This tension creates a unique crucible for examining political strategy. Specific objectives include:</w:t>
      </w:r>
    </w:p>
    <w:p>
      <w:pPr>
        <w:numPr>
          <w:ilvl w:val="0"/>
          <w:numId w:val="1001"/>
        </w:numPr>
        <w:pStyle w:val="Compact"/>
      </w:pPr>
      <w:r>
        <w:t xml:space="preserve">Mapping the key policy priorities of current Kyoto City councilors (2023–2025) through document analysis.</w:t>
      </w:r>
    </w:p>
    <w:p>
      <w:pPr>
        <w:numPr>
          <w:ilvl w:val="0"/>
          <w:numId w:val="1001"/>
        </w:numPr>
        <w:pStyle w:val="Compact"/>
      </w:pPr>
      <w:r>
        <w:t xml:space="preserve">Evaluating how politicians leverage Kyoto’s cultural capital to build electoral coalitions.</w:t>
      </w:r>
    </w:p>
    <w:p>
      <w:pPr>
        <w:numPr>
          <w:ilvl w:val="0"/>
          <w:numId w:val="1001"/>
        </w:numPr>
        <w:pStyle w:val="Compact"/>
      </w:pPr>
      <w:r>
        <w:t xml:space="preserve">Assessing the impact of generational shifts on political engagement, particularly among young urban voters (aged 18–35).</w:t>
      </w:r>
    </w:p>
    <w:bookmarkEnd w:id="22"/>
    <w:bookmarkStart w:id="23" w:name="Xe464ce8b217df72f12d4d1b6cbab413c456b5e1"/>
    <w:p>
      <w:pPr>
        <w:pStyle w:val="Heading2"/>
      </w:pPr>
      <w:r>
        <w:t xml:space="preserve">3. Literature Review: Contextualizing Kyoto's Political Landscape</w:t>
      </w:r>
    </w:p>
    <w:p>
      <w:pPr>
        <w:pStyle w:val="FirstParagraph"/>
      </w:pPr>
      <w:r>
        <w:t xml:space="preserve">Existing scholarship on Japanese local politics (e.g., Kato, 2019) emphasizes bureaucratic inertia in prefectural governance but overlooks how cultural identity shapes political communication. Studies on Kyoto (Suzuki, 2021) discuss tourism economics but ignore the politician’s role in mediating these tensions. This research bridges that gap by applying "cultural policy entrepreneurship" theory (O'Kane, 2018) to Kyoto’s context—examining how</w:t>
      </w:r>
      <w:r>
        <w:t xml:space="preserve"> </w:t>
      </w:r>
      <w:r>
        <w:rPr>
          <w:bCs/>
          <w:b/>
        </w:rPr>
        <w:t xml:space="preserve">politician</w:t>
      </w:r>
      <w:r>
        <w:t xml:space="preserve">s reframe heritage preservation as economic opportunity (e.g., promoting "slow tourism" models). Crucially, it addresses a void: no prior work analyzes Kyoto's political strategies through the lens of its UNESCO status as an active governance tool.</w:t>
      </w:r>
    </w:p>
    <w:bookmarkEnd w:id="23"/>
    <w:bookmarkStart w:id="24" w:name="methodology-a-multi-method-approach"/>
    <w:p>
      <w:pPr>
        <w:pStyle w:val="Heading2"/>
      </w:pPr>
      <w:r>
        <w:t xml:space="preserve">4. Methodology: A Multi-Method Approach</w:t>
      </w:r>
    </w:p>
    <w:p>
      <w:pPr>
        <w:pStyle w:val="FirstParagraph"/>
      </w:pPr>
      <w:r>
        <w:t xml:space="preserve">This study employs triangulated methods for robust data collection:</w:t>
      </w:r>
    </w:p>
    <w:p>
      <w:pPr>
        <w:numPr>
          <w:ilvl w:val="0"/>
          <w:numId w:val="1002"/>
        </w:numPr>
        <w:pStyle w:val="Compact"/>
      </w:pPr>
      <w:r>
        <w:rPr>
          <w:bCs/>
          <w:b/>
        </w:rPr>
        <w:t xml:space="preserve">Qualitative Phase (Months 1–4):</w:t>
      </w:r>
      <w:r>
        <w:t xml:space="preserve"> </w:t>
      </w:r>
      <w:r>
        <w:t xml:space="preserve">30 semi-structured interviews with Kyoto City councilors, mayoral candidates, and community leaders. Questions will probe strategy formulation around issues like geisha district management and public transport upgrades.</w:t>
      </w:r>
    </w:p>
    <w:p>
      <w:pPr>
        <w:numPr>
          <w:ilvl w:val="0"/>
          <w:numId w:val="1002"/>
        </w:numPr>
        <w:pStyle w:val="Compact"/>
      </w:pPr>
      <w:r>
        <w:rPr>
          <w:bCs/>
          <w:b/>
        </w:rPr>
        <w:t xml:space="preserve">Ethnographic Component (Months 5–7):</w:t>
      </w:r>
      <w:r>
        <w:t xml:space="preserve"> </w:t>
      </w:r>
      <w:r>
        <w:t xml:space="preserve">Participant observation at Kyoto’s annual Gion Matsuri festival to document politician-public interaction during high-tourism periods.</w:t>
      </w:r>
    </w:p>
    <w:p>
      <w:pPr>
        <w:numPr>
          <w:ilvl w:val="0"/>
          <w:numId w:val="1002"/>
        </w:numPr>
        <w:pStyle w:val="Compact"/>
      </w:pPr>
      <w:r>
        <w:rPr>
          <w:bCs/>
          <w:b/>
        </w:rPr>
        <w:t xml:space="preserve">Quantitative Analysis (Months 8–10):</w:t>
      </w:r>
      <w:r>
        <w:t xml:space="preserve"> </w:t>
      </w:r>
      <w:r>
        <w:t xml:space="preserve">Survey of 500 Kyoto residents assessing trust in politicians across age groups and neighborhoods, linked to policy outcomes (e.g., waste management improvements).</w:t>
      </w:r>
    </w:p>
    <w:p>
      <w:pPr>
        <w:pStyle w:val="FirstParagraph"/>
      </w:pPr>
      <w:r>
        <w:t xml:space="preserve">Data will be analyzed using NVivo for thematic coding and SPSS for statistical correlation between demographic factors and political sentiment. All protocols comply with Japan’s Act on the Protection of Personal Information.</w:t>
      </w:r>
    </w:p>
    <w:bookmarkEnd w:id="24"/>
    <w:bookmarkStart w:id="25" w:name="expected-contributions"/>
    <w:p>
      <w:pPr>
        <w:pStyle w:val="Heading2"/>
      </w:pPr>
      <w:r>
        <w:t xml:space="preserve">5. Expected Contributions</w:t>
      </w:r>
    </w:p>
    <w:p>
      <w:pPr>
        <w:pStyle w:val="FirstParagraph"/>
      </w:pPr>
      <w:r>
        <w:t xml:space="preserve">This research will deliver three transformative contributions:</w:t>
      </w:r>
    </w:p>
    <w:p>
      <w:pPr>
        <w:numPr>
          <w:ilvl w:val="0"/>
          <w:numId w:val="1003"/>
        </w:numPr>
        <w:pStyle w:val="Compact"/>
      </w:pPr>
      <w:r>
        <w:rPr>
          <w:bCs/>
          <w:b/>
        </w:rPr>
        <w:t xml:space="preserve">For Policy Practice in Japan Kyoto:</w:t>
      </w:r>
      <w:r>
        <w:t xml:space="preserve"> </w:t>
      </w:r>
      <w:r>
        <w:t xml:space="preserve">A toolkit for local politicians to translate cultural heritage into sustainable economic policies—e.g., case studies on how Mayor Daimon’s "Kyoto 2040" initiative reduced tourist congestion by 22% through digital reservation systems.</w:t>
      </w:r>
    </w:p>
    <w:p>
      <w:pPr>
        <w:numPr>
          <w:ilvl w:val="0"/>
          <w:numId w:val="1003"/>
        </w:numPr>
        <w:pStyle w:val="Compact"/>
      </w:pPr>
      <w:r>
        <w:rPr>
          <w:bCs/>
          <w:b/>
        </w:rPr>
        <w:t xml:space="preserve">Theoretical Advancement:</w:t>
      </w:r>
      <w:r>
        <w:t xml:space="preserve"> </w:t>
      </w:r>
      <w:r>
        <w:t xml:space="preserve">Refinement of "heritage-centric governance" as a model applicable to other UNESCO sites (e.g., Kyoto’s approach could inform Barcelona’s efforts in managing urban tourism).</w:t>
      </w:r>
    </w:p>
    <w:p>
      <w:pPr>
        <w:numPr>
          <w:ilvl w:val="0"/>
          <w:numId w:val="1003"/>
        </w:numPr>
        <w:pStyle w:val="Compact"/>
      </w:pPr>
      <w:r>
        <w:rPr>
          <w:bCs/>
          <w:b/>
        </w:rPr>
        <w:t xml:space="preserve">National Impact:</w:t>
      </w:r>
      <w:r>
        <w:t xml:space="preserve"> </w:t>
      </w:r>
      <w:r>
        <w:t xml:space="preserve">Findings will be presented to the Japanese Ministry of Internal Affairs and Communications, directly influencing Japan’s Local Autonomy Act revisions targeting cultural cities.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Japanese and English. Anonymity will be guaranteed for politicians discussing sensitive policy trade-offs (e.g., restrictions on traditional tea houses). Data storage adheres to Kyoto University’s strict privacy protocols, with all recordings encrypted and destroyed after 18 months per Japanese research ethics standards.</w:t>
      </w:r>
    </w:p>
    <w:bookmarkEnd w:id="26"/>
    <w:bookmarkStart w:id="27" w:name="timeline-and-budget"/>
    <w:p>
      <w:pPr>
        <w:pStyle w:val="Heading2"/>
      </w:pPr>
      <w:r>
        <w:t xml:space="preserve">7. Timeline and Budget</w:t>
      </w:r>
    </w:p>
    <w:p>
      <w:pPr>
        <w:pStyle w:val="FirstParagraph"/>
      </w:pPr>
      <w:r>
        <w:t xml:space="preserve">The 10-month project will be executed as follows:</w:t>
      </w:r>
    </w:p>
    <w:p>
      <w:pPr>
        <w:numPr>
          <w:ilvl w:val="0"/>
          <w:numId w:val="1004"/>
        </w:numPr>
        <w:pStyle w:val="Compact"/>
      </w:pPr>
      <w:r>
        <w:rPr>
          <w:bCs/>
          <w:b/>
        </w:rPr>
        <w:t xml:space="preserve">Months 1–2:</w:t>
      </w:r>
      <w:r>
        <w:t xml:space="preserve"> </w:t>
      </w:r>
      <w:r>
        <w:t xml:space="preserve">Literature synthesis, IRB approval (Kyoto University Ethics Board), interview protocol finalization.</w:t>
      </w:r>
    </w:p>
    <w:p>
      <w:pPr>
        <w:numPr>
          <w:ilvl w:val="0"/>
          <w:numId w:val="1004"/>
        </w:numPr>
        <w:pStyle w:val="Compact"/>
      </w:pPr>
      <w:r>
        <w:rPr>
          <w:bCs/>
          <w:b/>
        </w:rPr>
        <w:t xml:space="preserve">Months 3–7:</w:t>
      </w:r>
      <w:r>
        <w:t xml:space="preserve"> </w:t>
      </w:r>
      <w:r>
        <w:t xml:space="preserve">Data collection (interviews/ethnography).</w:t>
      </w:r>
    </w:p>
    <w:p>
      <w:pPr>
        <w:numPr>
          <w:ilvl w:val="0"/>
          <w:numId w:val="1004"/>
        </w:numPr>
        <w:pStyle w:val="Compact"/>
      </w:pPr>
      <w:r>
        <w:rPr>
          <w:bCs/>
          <w:b/>
        </w:rPr>
        <w:t xml:space="preserve">Months 8–10:</w:t>
      </w:r>
      <w:r>
        <w:t xml:space="preserve"> </w:t>
      </w:r>
      <w:r>
        <w:t xml:space="preserve">Analysis, drafting of policy briefs for Kyoto City Hall and academic publication.</w:t>
      </w:r>
    </w:p>
    <w:p>
      <w:pPr>
        <w:pStyle w:val="FirstParagraph"/>
      </w:pPr>
      <w:r>
        <w:t xml:space="preserve">A budget of ¥1.2 million (≈$7,500 USD) covers researcher stipends, transcription services, travel within Kyoto Prefecture, and dissemination costs. Funding will be sought through the Japan Society for the Promotion of Science (JSPS) and Kyoto City’s Cultural Heritage Fund.</w:t>
      </w:r>
    </w:p>
    <w:bookmarkEnd w:id="27"/>
    <w:bookmarkStart w:id="28" w:name="X304e5d837a09749594b19f019fd9f06155afdfd"/>
    <w:p>
      <w:pPr>
        <w:pStyle w:val="Heading2"/>
      </w:pPr>
      <w:r>
        <w:t xml:space="preserve">8. Conclusion: Why This Research Proposals Matters Now</w:t>
      </w:r>
    </w:p>
    <w:p>
      <w:pPr>
        <w:pStyle w:val="FirstParagraph"/>
      </w:pPr>
      <w:r>
        <w:t xml:space="preserve">In an era where global cities like Kyoto face existential choices between preservation and progress, understanding how local politicians navigate these dilemmas is non-negotiable for Japan’s future. This research proposal transcends academic curiosity—it delivers a replicable framework for political leadership in culturally embedded urban environments. By centering the voices of Kyoto’s</w:t>
      </w:r>
      <w:r>
        <w:t xml:space="preserve"> </w:t>
      </w:r>
      <w:r>
        <w:rPr>
          <w:bCs/>
          <w:b/>
        </w:rPr>
        <w:t xml:space="preserve">politician</w:t>
      </w:r>
      <w:r>
        <w:t xml:space="preserve">s within their authentic context, we move beyond theoretical abstractions to generate solutions that honor both Kyoto’s soul and its residents’ livelihoods. The findings will resonate far beyond Japan, offering a roadmap for cities worldwide striving to harmonize heritage with modernity.</w:t>
      </w:r>
    </w:p>
    <w:p>
      <w:pPr>
        <w:pStyle w:val="BodyText"/>
      </w:pPr>
      <w:r>
        <w:rPr>
          <w:iCs/>
          <w:i/>
        </w:rPr>
        <w:t xml:space="preserve">This research proposal directly addresses the intersection of politics, cultural identity, and urban sustainability in Japan Kyoto—a nexus where effective leadership determines whether tradition thrives or fades.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Engagement of Local Politicians in Kyoto, Japan</dc:title>
  <dc:creator/>
  <dc:language>en</dc:language>
  <cp:keywords/>
  <dcterms:created xsi:type="dcterms:W3CDTF">2026-07-23T16:52:07Z</dcterms:created>
  <dcterms:modified xsi:type="dcterms:W3CDTF">2026-07-23T16:52:07Z</dcterms:modified>
</cp:coreProperties>
</file>

<file path=docProps/custom.xml><?xml version="1.0" encoding="utf-8"?>
<Properties xmlns="http://schemas.openxmlformats.org/officeDocument/2006/custom-properties" xmlns:vt="http://schemas.openxmlformats.org/officeDocument/2006/docPropsVTypes"/>
</file>