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Politician</w:t>
      </w:r>
      <w:r>
        <w:t xml:space="preserve"> </w:t>
      </w:r>
      <w:r>
        <w:t xml:space="preserve">in</w:t>
      </w:r>
      <w:r>
        <w:t xml:space="preserve"> </w:t>
      </w:r>
      <w:r>
        <w:t xml:space="preserve">Japan</w:t>
      </w:r>
      <w:r>
        <w:t xml:space="preserve"> </w:t>
      </w:r>
      <w:r>
        <w:t xml:space="preserve">Osaka</w:t>
      </w:r>
      <w:r>
        <w:t xml:space="preserve"> </w:t>
      </w:r>
      <w:r>
        <w:t xml:space="preserve">Governance</w:t>
      </w:r>
    </w:p>
    <w:bookmarkStart w:id="28" w:name="X8f85d7f4fae846786f24c66e1388aef89d3242a"/>
    <w:p>
      <w:pPr>
        <w:pStyle w:val="Heading1"/>
      </w:pPr>
      <w:r>
        <w:t xml:space="preserve">Research Proposal: Understanding the Contemporary Role of Politician in Japan Osaka's Political Landscape</w:t>
      </w:r>
    </w:p>
    <w:bookmarkStart w:id="20" w:name="introduction-and-background"/>
    <w:p>
      <w:pPr>
        <w:pStyle w:val="Heading2"/>
      </w:pPr>
      <w:r>
        <w:t xml:space="preserve">Introduction and Background</w:t>
      </w:r>
    </w:p>
    <w:p>
      <w:pPr>
        <w:pStyle w:val="FirstParagraph"/>
      </w:pPr>
      <w:r>
        <w:t xml:space="preserve">The political ecosystem of Japan Osaka represents a critical microcosm for understanding modern governance in Japan, where local autonomy intersects with national policy frameworks. As one of Japan's most populous urban centers and economic hubs, Osaka has evolved into a unique laboratory for studying the dynamics of local</w:t>
      </w:r>
      <w:r>
        <w:t xml:space="preserve"> </w:t>
      </w:r>
      <w:r>
        <w:rPr>
          <w:bCs/>
          <w:b/>
        </w:rPr>
        <w:t xml:space="preserve">Politician</w:t>
      </w:r>
      <w:r>
        <w:t xml:space="preserve"> </w:t>
      </w:r>
      <w:r>
        <w:t xml:space="preserve">engagement. This Research Proposal outlines a comprehensive investigation into how contemporary</w:t>
      </w:r>
      <w:r>
        <w:t xml:space="preserve"> </w:t>
      </w:r>
      <w:r>
        <w:rPr>
          <w:bCs/>
          <w:b/>
        </w:rPr>
        <w:t xml:space="preserve">Politician</w:t>
      </w:r>
      <w:r>
        <w:t xml:space="preserve">s in</w:t>
      </w:r>
      <w:r>
        <w:t xml:space="preserve"> </w:t>
      </w:r>
      <w:r>
        <w:rPr>
          <w:bCs/>
          <w:b/>
        </w:rPr>
        <w:t xml:space="preserve">Japan Osaka</w:t>
      </w:r>
      <w:r>
        <w:t xml:space="preserve"> </w:t>
      </w:r>
      <w:r>
        <w:t xml:space="preserve">navigate complex socio-political challenges, from decentralization initiatives to urban sustainability imperatives. The significance of this study is amplified by Osaka's status as a model for local governance reform, particularly following the 2015 merger of Osaka City and its surrounding districts to form the Osaka Metropolis Plan—a pivotal moment that reshaped local political structures across</w:t>
      </w:r>
      <w:r>
        <w:t xml:space="preserve"> </w:t>
      </w:r>
      <w:r>
        <w:rPr>
          <w:bCs/>
          <w:b/>
        </w:rPr>
        <w:t xml:space="preserve">Japan</w:t>
      </w:r>
      <w:r>
        <w:t xml:space="preserve">.</w:t>
      </w:r>
    </w:p>
    <w:bookmarkEnd w:id="20"/>
    <w:bookmarkStart w:id="21" w:name="problem-statement"/>
    <w:p>
      <w:pPr>
        <w:pStyle w:val="Heading2"/>
      </w:pPr>
      <w:r>
        <w:t xml:space="preserve">Problem Statement</w:t>
      </w:r>
    </w:p>
    <w:p>
      <w:pPr>
        <w:pStyle w:val="FirstParagraph"/>
      </w:pPr>
      <w:r>
        <w:t xml:space="preserve">Despite Osaka's prominence, there is a critical gap in empirical research examining the operational realities of local</w:t>
      </w:r>
      <w:r>
        <w:t xml:space="preserve"> </w:t>
      </w:r>
      <w:r>
        <w:rPr>
          <w:bCs/>
          <w:b/>
        </w:rPr>
        <w:t xml:space="preserve">Politician</w:t>
      </w:r>
      <w:r>
        <w:t xml:space="preserve">s beyond electoral cycles. Current literature often focuses on national politics or macroeconomic trends, neglecting how individual</w:t>
      </w:r>
      <w:r>
        <w:t xml:space="preserve"> </w:t>
      </w:r>
      <w:r>
        <w:rPr>
          <w:bCs/>
          <w:b/>
        </w:rPr>
        <w:t xml:space="preserve">Politician</w:t>
      </w:r>
      <w:r>
        <w:t xml:space="preserve">s in</w:t>
      </w:r>
      <w:r>
        <w:t xml:space="preserve"> </w:t>
      </w:r>
      <w:r>
        <w:rPr>
          <w:bCs/>
          <w:b/>
        </w:rPr>
        <w:t xml:space="preserve">Japan Osaka</w:t>
      </w:r>
      <w:r>
        <w:t xml:space="preserve"> </w:t>
      </w:r>
      <w:r>
        <w:t xml:space="preserve">translate policy into tangible community outcomes. Key issues persist: declining voter engagement in municipal elections (2023 data shows only 48% turnout), fragmented policymaking between city and prefectural levels, and the growing influence of non-traditional actors like corporate stakeholders in local governance. This Research Proposal directly addresses these gaps by interrogating how</w:t>
      </w:r>
      <w:r>
        <w:t xml:space="preserve"> </w:t>
      </w:r>
      <w:r>
        <w:rPr>
          <w:bCs/>
          <w:b/>
        </w:rPr>
        <w:t xml:space="preserve">Politician</w:t>
      </w:r>
      <w:r>
        <w:t xml:space="preserve">s in</w:t>
      </w:r>
      <w:r>
        <w:t xml:space="preserve"> </w:t>
      </w:r>
      <w:r>
        <w:rPr>
          <w:bCs/>
          <w:b/>
        </w:rPr>
        <w:t xml:space="preserve">Japan Osaka</w:t>
      </w:r>
      <w:r>
        <w:t xml:space="preserve"> </w:t>
      </w:r>
      <w:r>
        <w:t xml:space="preserve">build coalitions, manage crises (e.g., post-pandemic economic recovery), and balance competing interests—matters of urgent relevance to Japan's decentralization agenda.</w:t>
      </w:r>
    </w:p>
    <w:bookmarkEnd w:id="21"/>
    <w:bookmarkStart w:id="22" w:name="research-objectives-and-questions"/>
    <w:p>
      <w:pPr>
        <w:pStyle w:val="Heading2"/>
      </w:pPr>
      <w:r>
        <w:t xml:space="preserve">Research Objectives and Questions</w:t>
      </w:r>
    </w:p>
    <w:p>
      <w:pPr>
        <w:pStyle w:val="FirstParagraph"/>
      </w:pPr>
      <w:r>
        <w:t xml:space="preserve">This study aims to achieve three core objectives through a rigorous mixed-methods approach:</w:t>
      </w:r>
    </w:p>
    <w:p>
      <w:pPr>
        <w:numPr>
          <w:ilvl w:val="0"/>
          <w:numId w:val="1001"/>
        </w:numPr>
        <w:pStyle w:val="Compact"/>
      </w:pPr>
      <w:r>
        <w:t xml:space="preserve">To analyze the decision-making frameworks used by Osaka-based Politician during policy implementation (e.g., infrastructure projects, social welfare reforms).</w:t>
      </w:r>
    </w:p>
    <w:p>
      <w:pPr>
        <w:numPr>
          <w:ilvl w:val="0"/>
          <w:numId w:val="1001"/>
        </w:numPr>
        <w:pStyle w:val="Compact"/>
      </w:pPr>
      <w:r>
        <w:t xml:space="preserve">To assess how digital communication strategies reshape voter-</w:t>
      </w:r>
      <w:r>
        <w:rPr>
          <w:bCs/>
          <w:b/>
        </w:rPr>
        <w:t xml:space="preserve">Politician</w:t>
      </w:r>
      <w:r>
        <w:t xml:space="preserve"> </w:t>
      </w:r>
      <w:r>
        <w:t xml:space="preserve">relationships in modern Osaka.</w:t>
      </w:r>
    </w:p>
    <w:p>
      <w:pPr>
        <w:numPr>
          <w:ilvl w:val="0"/>
          <w:numId w:val="1001"/>
        </w:numPr>
        <w:pStyle w:val="Compact"/>
      </w:pPr>
      <w:r>
        <w:t xml:space="preserve">To evaluate the impact of gender and generational diversity among</w:t>
      </w:r>
      <w:r>
        <w:t xml:space="preserve"> </w:t>
      </w:r>
      <w:r>
        <w:rPr>
          <w:bCs/>
          <w:b/>
        </w:rPr>
        <w:t xml:space="preserve">Politician</w:t>
      </w:r>
      <w:r>
        <w:t xml:space="preserve">s on governance outcomes in Japan Osaka.</w:t>
      </w:r>
    </w:p>
    <w:p>
      <w:pPr>
        <w:pStyle w:val="FirstParagraph"/>
      </w:pPr>
      <w:r>
        <w:t xml:space="preserve">Central research questions include: How do local Politician in Japan Osaka navigate tensions between national government mandates and municipal autonomy? What specific tactics do successful Osaka-based Politician employ to secure public trust amid declining institutional confidence? And how does the evolving profile of the modern Politician (e.g., younger candidates with digital literacy) influence service delivery in a city grappling with aging demographics?</w:t>
      </w:r>
    </w:p>
    <w:bookmarkEnd w:id="22"/>
    <w:bookmarkStart w:id="23" w:name="literature-review"/>
    <w:p>
      <w:pPr>
        <w:pStyle w:val="Heading2"/>
      </w:pPr>
      <w:r>
        <w:t xml:space="preserve">Literature Review</w:t>
      </w:r>
    </w:p>
    <w:p>
      <w:pPr>
        <w:pStyle w:val="FirstParagraph"/>
      </w:pPr>
      <w:r>
        <w:t xml:space="preserve">Existing scholarship on Japanese local governance (e.g., Yamamoto, 2018; Imai, 2020) emphasizes Osaka's role as a reform pioneer but overlooks granular actor-level analysis. While studies like "Osaka Metropolis: A Case Study in Local Autonomy" (Sato, 2019) document structural changes, they neglect the human element—the</w:t>
      </w:r>
      <w:r>
        <w:t xml:space="preserve"> </w:t>
      </w:r>
      <w:r>
        <w:rPr>
          <w:bCs/>
          <w:b/>
        </w:rPr>
        <w:t xml:space="preserve">Politician</w:t>
      </w:r>
      <w:r>
        <w:t xml:space="preserve"> </w:t>
      </w:r>
      <w:r>
        <w:t xml:space="preserve">as an active agent. Recent work on digital democracy (Kawano &amp; Tanaka, 2022) examines social media use in Tokyo but ignores Osaka's distinct political culture where face-to-face community engagement remains pivotal. This Research Proposal bridges these divides by centering the</w:t>
      </w:r>
      <w:r>
        <w:t xml:space="preserve"> </w:t>
      </w:r>
      <w:r>
        <w:rPr>
          <w:bCs/>
          <w:b/>
        </w:rPr>
        <w:t xml:space="preserve">Politician</w:t>
      </w:r>
      <w:r>
        <w:t xml:space="preserve"> </w:t>
      </w:r>
      <w:r>
        <w:t xml:space="preserve">within Japan Osaka's specific institutional context, building on the seminal "Osaka Model" framework developed by Nishimura (2017) while adding empirical depth to its human dimension.</w:t>
      </w:r>
    </w:p>
    <w:bookmarkEnd w:id="23"/>
    <w:bookmarkStart w:id="24" w:name="methodology"/>
    <w:p>
      <w:pPr>
        <w:pStyle w:val="Heading2"/>
      </w:pPr>
      <w:r>
        <w:t xml:space="preserve">Methodology</w:t>
      </w:r>
    </w:p>
    <w:p>
      <w:pPr>
        <w:pStyle w:val="FirstParagraph"/>
      </w:pPr>
      <w:r>
        <w:t xml:space="preserve">This project employs a sequential mixed-methods design over 18 months:</w:t>
      </w:r>
    </w:p>
    <w:p>
      <w:pPr>
        <w:numPr>
          <w:ilvl w:val="0"/>
          <w:numId w:val="1002"/>
        </w:numPr>
        <w:pStyle w:val="Compact"/>
      </w:pPr>
      <w:r>
        <w:rPr>
          <w:bCs/>
          <w:b/>
        </w:rPr>
        <w:t xml:space="preserve">Phase 1 (6 months):</w:t>
      </w:r>
      <w:r>
        <w:t xml:space="preserve"> </w:t>
      </w:r>
      <w:r>
        <w:t xml:space="preserve">Qualitative interviews with 30 key informants—including sitting Osaka Prefectural Assembly members, mayoral aides, and civic organization leaders—to map policy networks and decision pathways. Sampling will ensure gender parity (50% women) and generational diversity (30s–70s age groups), addressing a major gap in current literature on</w:t>
      </w:r>
      <w:r>
        <w:t xml:space="preserve"> </w:t>
      </w:r>
      <w:r>
        <w:rPr>
          <w:bCs/>
          <w:b/>
        </w:rPr>
        <w:t xml:space="preserve">Politician</w:t>
      </w:r>
      <w:r>
        <w:t xml:space="preserve"> </w:t>
      </w:r>
      <w:r>
        <w:t xml:space="preserve">demographics.</w:t>
      </w:r>
    </w:p>
    <w:p>
      <w:pPr>
        <w:numPr>
          <w:ilvl w:val="0"/>
          <w:numId w:val="1002"/>
        </w:numPr>
        <w:pStyle w:val="Compact"/>
      </w:pPr>
      <w:r>
        <w:rPr>
          <w:bCs/>
          <w:b/>
        </w:rPr>
        <w:t xml:space="preserve">Phase 2 (8 months):</w:t>
      </w:r>
      <w:r>
        <w:t xml:space="preserve"> </w:t>
      </w:r>
      <w:r>
        <w:t xml:space="preserve">Quantitative analysis of municipal data: tracking 15 key policy initiatives from Osaka City's 2023–2024 budget, correlating implementation speed with specific</w:t>
      </w:r>
      <w:r>
        <w:t xml:space="preserve"> </w:t>
      </w:r>
      <w:r>
        <w:rPr>
          <w:bCs/>
          <w:b/>
        </w:rPr>
        <w:t xml:space="preserve">Politician</w:t>
      </w:r>
      <w:r>
        <w:t xml:space="preserve">-led strategies using GIS mapping to visualize service delivery patterns.</w:t>
      </w:r>
    </w:p>
    <w:p>
      <w:pPr>
        <w:numPr>
          <w:ilvl w:val="0"/>
          <w:numId w:val="1002"/>
        </w:numPr>
        <w:pStyle w:val="Compact"/>
      </w:pPr>
      <w:r>
        <w:rPr>
          <w:bCs/>
          <w:b/>
        </w:rPr>
        <w:t xml:space="preserve">Phase 3 (4 months):</w:t>
      </w:r>
      <w:r>
        <w:t xml:space="preserve"> </w:t>
      </w:r>
      <w:r>
        <w:t xml:space="preserve">Public perception surveys across Osaka's 19 wards (N=1,200 residents) measuring trust levels in local Politician based on demographic factors and policy outcomes.</w:t>
      </w:r>
    </w:p>
    <w:p>
      <w:pPr>
        <w:pStyle w:val="FirstParagraph"/>
      </w:pPr>
      <w:r>
        <w:t xml:space="preserve">Data triangulation will ensure robustness—interview insights will contextualize survey statistics, while policy datasets validate observed governance patterns. Ethical approval will be sought from Osaka University's IRB, with all participant data anonymized per Japanese Privacy Act standards.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(1) A publicly accessible "Osaka Governance Toolkit" offering evidence-based strategies for effective Politician engagement; (2) Policy briefs for Osaka City Hall addressing the 48% voter turnout crisis through targeted civic mobilization tactics; and (3) A theoretical model of "Contextualized Local Leadership" applicable to other Japanese metropolises. Crucially, findings will directly inform Japan's national Decentralization Promotion Act revisions by providing granular data on what works for</w:t>
      </w:r>
      <w:r>
        <w:t xml:space="preserve"> </w:t>
      </w:r>
      <w:r>
        <w:rPr>
          <w:bCs/>
          <w:b/>
        </w:rPr>
        <w:t xml:space="preserve">Politician</w:t>
      </w:r>
      <w:r>
        <w:t xml:space="preserve">s in Osaka's unique urban environment.</w:t>
      </w:r>
    </w:p>
    <w:p>
      <w:pPr>
        <w:pStyle w:val="BodyText"/>
      </w:pPr>
      <w:r>
        <w:t xml:space="preserve">The significance extends beyond academia. For</w:t>
      </w:r>
      <w:r>
        <w:t xml:space="preserve"> </w:t>
      </w:r>
      <w:r>
        <w:rPr>
          <w:bCs/>
          <w:b/>
        </w:rPr>
        <w:t xml:space="preserve">Japan Osaka</w:t>
      </w:r>
      <w:r>
        <w:t xml:space="preserve">, this work promises to enhance civic participation and reduce policy implementation gaps—issues directly impacting 19 million residents. For Japan's national political landscape, it offers a scalable blueprint for revitalizing local democracy amid nationwide demographic decline. Most importantly, by centering the</w:t>
      </w:r>
      <w:r>
        <w:t xml:space="preserve"> </w:t>
      </w:r>
      <w:r>
        <w:rPr>
          <w:bCs/>
          <w:b/>
        </w:rPr>
        <w:t xml:space="preserve">Politician</w:t>
      </w:r>
      <w:r>
        <w:t xml:space="preserve"> </w:t>
      </w:r>
      <w:r>
        <w:t xml:space="preserve">as both subject and agent of change—not just a bureaucratic figure—the research elevates understanding of how human agency shapes governance outcomes in one of Asia's most dynamic cities.</w:t>
      </w:r>
    </w:p>
    <w:bookmarkEnd w:id="25"/>
    <w:bookmarkStart w:id="26" w:name="timeline-and-resource-requirements"/>
    <w:p>
      <w:pPr>
        <w:pStyle w:val="Heading2"/>
      </w:pPr>
      <w:r>
        <w:t xml:space="preserve">Timeline and Resource Requirements</w:t>
      </w:r>
    </w:p>
    <w:p>
      <w:pPr>
        <w:pStyle w:val="FirstParagraph"/>
      </w:pPr>
      <w:r>
        <w:t xml:space="preserve">A 18-month timeline (January 2025–June 2026) allocates resources as follows:</w:t>
      </w:r>
      <w:r>
        <w:t xml:space="preserve"> </w:t>
      </w:r>
      <w:r>
        <w:t xml:space="preserve">• $85,000 for researcher stipends and Osaka-based fieldwork</w:t>
      </w:r>
      <w:r>
        <w:t xml:space="preserve"> </w:t>
      </w:r>
      <w:r>
        <w:t xml:space="preserve">• $15,000 for survey software and data analysis tools</w:t>
      </w:r>
      <w:r>
        <w:t xml:space="preserve"> </w:t>
      </w:r>
      <w:r>
        <w:t xml:space="preserve">• $10,000 for community workshops in Osaka districts (e.g., Namba, Umeda)</w:t>
      </w:r>
    </w:p>
    <w:p>
      <w:pPr>
        <w:pStyle w:val="BodyText"/>
      </w:pPr>
      <w:r>
        <w:t xml:space="preserve">Collaboration with the Osaka Municipal Institute of Policy Research ensures institutional buy-in. Dissemination will occur through academic journals (e.g., *Japanese Journal of Political Science*), public forums at Osaka City Hall, and a multilingual report for international policymakers.</w:t>
      </w:r>
    </w:p>
    <w:bookmarkEnd w:id="26"/>
    <w:bookmarkStart w:id="27" w:name="conclusion"/>
    <w:p>
      <w:pPr>
        <w:pStyle w:val="Heading2"/>
      </w:pPr>
      <w:r>
        <w:t xml:space="preserve">Conclusion</w:t>
      </w:r>
    </w:p>
    <w:p>
      <w:pPr>
        <w:pStyle w:val="FirstParagraph"/>
      </w:pPr>
      <w:r>
        <w:t xml:space="preserve">This Research Proposal establishes an urgent, evidence-based examination of the modern Politician within Japan Osaka's evolving political framework. By moving beyond abstract institutional analysis to center the lived experiences of local leaders, we address a critical void in understanding how effective governance emerges in complex urban environments. The findings will not only strengthen democratic resilience in Osaka but also provide Japan with actionable insights for revitalizing its entire local governance network. In an era where trust in political institutions is declining globally, this study offers a path to rebuilding meaningful connection between the</w:t>
      </w:r>
      <w:r>
        <w:t xml:space="preserve"> </w:t>
      </w:r>
      <w:r>
        <w:rPr>
          <w:bCs/>
          <w:b/>
        </w:rPr>
        <w:t xml:space="preserve">Politician</w:t>
      </w:r>
      <w:r>
        <w:t xml:space="preserve"> </w:t>
      </w:r>
      <w:r>
        <w:t xml:space="preserve">and the people they serve—proving that in Japan Osaka, as elsewhere, effective leadership remains the bedrock of civic progress. As Osaka continues its journey toward becoming a "Global City Model," this Research Proposal positions itself as an indispensable guide for shaping its political future.</w:t>
      </w:r>
    </w:p>
    <w:p>
      <w:pPr>
        <w:pStyle w:val="BodyText"/>
      </w:pPr>
      <w:r>
        <w:rPr>
          <w:bCs/>
          <w:b/>
        </w:rPr>
        <w:t xml:space="preserve">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Politician in Japan Osaka Governance</dc:title>
  <dc:creator/>
  <dc:language>en</dc:language>
  <cp:keywords/>
  <dcterms:created xsi:type="dcterms:W3CDTF">2025-12-10T11:28:57Z</dcterms:created>
  <dcterms:modified xsi:type="dcterms:W3CDTF">2025-12-10T11:28:57Z</dcterms:modified>
</cp:coreProperties>
</file>

<file path=docProps/custom.xml><?xml version="1.0" encoding="utf-8"?>
<Properties xmlns="http://schemas.openxmlformats.org/officeDocument/2006/custom-properties" xmlns:vt="http://schemas.openxmlformats.org/officeDocument/2006/docPropsVTypes"/>
</file>