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Almaty,</w:t>
      </w:r>
      <w:r>
        <w:t xml:space="preserve"> </w:t>
      </w:r>
      <w:r>
        <w:t xml:space="preserve">Kazakhstan</w:t>
      </w:r>
    </w:p>
    <w:bookmarkStart w:id="30" w:name="X5f3ec551d8c59073bd0956f5cbc115a2e9be949"/>
    <w:p>
      <w:pPr>
        <w:pStyle w:val="Heading1"/>
      </w:pPr>
      <w:r>
        <w:t xml:space="preserve">Research Proposal: The Role and Impact of Local Politicians in Urban Governance – A Case Study of Almaty, Kazakhstan</w:t>
      </w:r>
    </w:p>
    <w:bookmarkStart w:id="20" w:name="introduction"/>
    <w:p>
      <w:pPr>
        <w:pStyle w:val="Heading2"/>
      </w:pPr>
      <w:r>
        <w:t xml:space="preserve">1. Introduction</w:t>
      </w:r>
    </w:p>
    <w:p>
      <w:pPr>
        <w:pStyle w:val="FirstParagraph"/>
      </w:pPr>
      <w:r>
        <w:t xml:space="preserve">The evolving political landscape of Kazakhstan presents a critical opportunity to examine how local politicians shape urban development in the nation's most dynamic metropolis. As the former capital and current economic hub, Almaty stands at a pivotal juncture where governance challenges intersect with rapid urbanization, socio-economic transformation, and civic expectations. This research proposal addresses a significant gap in understanding how individual</w:t>
      </w:r>
      <w:r>
        <w:t xml:space="preserve"> </w:t>
      </w:r>
      <w:r>
        <w:rPr>
          <w:bCs/>
          <w:b/>
        </w:rPr>
        <w:t xml:space="preserve">Politician</w:t>
      </w:r>
      <w:r>
        <w:t xml:space="preserve"> </w:t>
      </w:r>
      <w:r>
        <w:t xml:space="preserve">behavior influences policy implementation within Kazakhstan's municipal framework. While national politics receives extensive scholarly attention, the operational dynamics of local leadership in Almaty—where 20% of Kazakhstan's population resides—remain underexplored. This study positions itself at the intersection of political science, urban studies, and public administration to analyze how</w:t>
      </w:r>
      <w:r>
        <w:t xml:space="preserve"> </w:t>
      </w:r>
      <w:r>
        <w:rPr>
          <w:bCs/>
          <w:b/>
        </w:rPr>
        <w:t xml:space="preserve">Kazakhstan Almaty</w:t>
      </w:r>
      <w:r>
        <w:t xml:space="preserve">’s municipal leaders navigate institutional constraints, public demands, and developmental imperatives.</w:t>
      </w:r>
    </w:p>
    <w:bookmarkEnd w:id="20"/>
    <w:bookmarkStart w:id="21" w:name="problem-statement"/>
    <w:p>
      <w:pPr>
        <w:pStyle w:val="Heading2"/>
      </w:pPr>
      <w:r>
        <w:t xml:space="preserve">2. Problem Statement</w:t>
      </w:r>
    </w:p>
    <w:p>
      <w:pPr>
        <w:pStyle w:val="FirstParagraph"/>
      </w:pPr>
      <w:r>
        <w:t xml:space="preserve">Almaty faces acute challenges in sustainable urban governance: traffic congestion affecting 1.5 million residents, outdated infrastructure straining to accommodate a growing population of 2 million, and persistent gaps in public service delivery. Crucially, these challenges are deeply intertwined with political decision-making at the municipal level. Current literature (e.g., Khamidova &amp; Rakhimov, 2021; Gubenko, 2019) focuses primarily on national-level politics or general governance structures in Kazakhstan, neglecting how individual</w:t>
      </w:r>
      <w:r>
        <w:t xml:space="preserve"> </w:t>
      </w:r>
      <w:r>
        <w:rPr>
          <w:bCs/>
          <w:b/>
        </w:rPr>
        <w:t xml:space="preserve">Politician</w:t>
      </w:r>
      <w:r>
        <w:t xml:space="preserve"> </w:t>
      </w:r>
      <w:r>
        <w:t xml:space="preserve">agency—through coalition-building, policy prioritization, and stakeholder engagement—directly impacts Almaty’s urban trajectory. Without systematic analysis of municipal leadership dynamics, Kazakhstan risks perpetuating ineffective governance models that fail to address Almaty’s unique socio-spatial realities.</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networks and influence patterns of key municipal politicians in Almaty’s executive and legislative bodies (Mayor’s Office, City Council) from 2019–2024.</w:t>
      </w:r>
    </w:p>
    <w:p>
      <w:pPr>
        <w:numPr>
          <w:ilvl w:val="0"/>
          <w:numId w:val="1001"/>
        </w:numPr>
        <w:pStyle w:val="Compact"/>
      </w:pPr>
      <w:r>
        <w:t xml:space="preserve">To evaluate the correlation between specific political strategies employed by local leaders and tangible urban development outcomes (e.g., infrastructure projects completed, public service accessibility metrics).</w:t>
      </w:r>
    </w:p>
    <w:p>
      <w:pPr>
        <w:numPr>
          <w:ilvl w:val="0"/>
          <w:numId w:val="1001"/>
        </w:numPr>
        <w:pStyle w:val="Compact"/>
      </w:pPr>
      <w:r>
        <w:t xml:space="preserve">To assess citizen perceptions of municipal politicians’ effectiveness in addressing Almaty’s priority issues (transportation, housing, environmental sustainability) through a representative survey.</w:t>
      </w:r>
    </w:p>
    <w:p>
      <w:pPr>
        <w:numPr>
          <w:ilvl w:val="0"/>
          <w:numId w:val="1001"/>
        </w:numPr>
        <w:pStyle w:val="Compact"/>
      </w:pPr>
      <w:r>
        <w:t xml:space="preserve">To develop evidence-based recommendations for enhancing the capacity of local politicians to drive inclusive urban governance in Kazakhstan.</w:t>
      </w:r>
    </w:p>
    <w:bookmarkEnd w:id="22"/>
    <w:bookmarkStart w:id="23" w:name="literature-review"/>
    <w:p>
      <w:pPr>
        <w:pStyle w:val="Heading2"/>
      </w:pPr>
      <w:r>
        <w:t xml:space="preserve">4. Literature Review</w:t>
      </w:r>
    </w:p>
    <w:p>
      <w:pPr>
        <w:pStyle w:val="FirstParagraph"/>
      </w:pPr>
      <w:r>
        <w:t xml:space="preserve">Existing scholarship on Central Asian governance (Kozlova, 2020; Sakenov, 2018) emphasizes Kazakhstan’s “managed democracy” model but overlooks subnational political agency. Studies on post-Soviet cities (e.g., Kuznetsova, 2017) highlight structural barriers to urban reform but treat local politicians as homogenous actors rather than strategic agents. In</w:t>
      </w:r>
      <w:r>
        <w:t xml:space="preserve"> </w:t>
      </w:r>
      <w:r>
        <w:rPr>
          <w:bCs/>
          <w:b/>
        </w:rPr>
        <w:t xml:space="preserve">Kazakhstan Almaty</w:t>
      </w:r>
      <w:r>
        <w:t xml:space="preserve">, the dual legacy of Soviet-era planning and market-driven reforms creates a unique context where political will—exerted through mayors like Nurzhan Smanov or city council members—becomes a decisive variable in implementation. This research bridges critical gaps by centering the</w:t>
      </w:r>
      <w:r>
        <w:t xml:space="preserve"> </w:t>
      </w:r>
      <w:r>
        <w:rPr>
          <w:bCs/>
          <w:b/>
        </w:rPr>
        <w:t xml:space="preserve">Politician</w:t>
      </w:r>
      <w:r>
        <w:t xml:space="preserve"> </w:t>
      </w:r>
      <w:r>
        <w:t xml:space="preserve">as an active policy actor within Kazakhstan’s specific institutional architecture, moving beyond macro-level analyses to micro-dynamics of governance.</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Component:</w:t>
      </w:r>
      <w:r>
        <w:t xml:space="preserve"> </w:t>
      </w:r>
      <w:r>
        <w:t xml:space="preserve">Semi-structured interviews with 25 key informants (10 former/municipal politicians, 8 city officials, 7 community leaders) in Almaty. Thematic analysis will identify patterns in decision-making approaches.</w:t>
      </w:r>
    </w:p>
    <w:p>
      <w:pPr>
        <w:numPr>
          <w:ilvl w:val="0"/>
          <w:numId w:val="1002"/>
        </w:numPr>
        <w:pStyle w:val="Compact"/>
      </w:pPr>
      <w:r>
        <w:rPr>
          <w:bCs/>
          <w:b/>
        </w:rPr>
        <w:t xml:space="preserve">Quantitative Component:</w:t>
      </w:r>
      <w:r>
        <w:t xml:space="preserve"> </w:t>
      </w:r>
      <w:r>
        <w:t xml:space="preserve">Analysis of official municipal datasets (2019–2024) tracking project timelines, budget allocations, and completion rates across 15 urban infrastructure initiatives. A stratified random survey of 400 Almaty residents will measure public perception of political effectiveness.</w:t>
      </w:r>
    </w:p>
    <w:p>
      <w:pPr>
        <w:numPr>
          <w:ilvl w:val="0"/>
          <w:numId w:val="1002"/>
        </w:numPr>
        <w:pStyle w:val="Compact"/>
      </w:pPr>
      <w:r>
        <w:rPr>
          <w:bCs/>
          <w:b/>
        </w:rPr>
        <w:t xml:space="preserve">Comparative Element:</w:t>
      </w:r>
      <w:r>
        <w:t xml:space="preserve"> </w:t>
      </w:r>
      <w:r>
        <w:t xml:space="preserve">Benchmarks against municipal governance in Astana (Nur-Sultan) to isolate Almaty-specific factors influenced by local leadership.</w:t>
      </w:r>
    </w:p>
    <w:p>
      <w:pPr>
        <w:pStyle w:val="FirstParagraph"/>
      </w:pPr>
      <w:r>
        <w:t xml:space="preserve">Data collection will occur during Q2–Q4 2024, with ethical approval secured from the Almaty School of Public Administration and adherence to Kazakhstani research protocols. The study focuses on political actors within the Almaty City Council and Executive Committee, aligning with Kazakhstan’s administrative decentralization framework.</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detailed taxonomy of leadership styles among Almaty’s municipal politicians (e.g., consensus-driven vs. top-down approaches) and their correlation with project success rates.</w:t>
      </w:r>
    </w:p>
    <w:p>
      <w:pPr>
        <w:numPr>
          <w:ilvl w:val="0"/>
          <w:numId w:val="1003"/>
        </w:numPr>
        <w:pStyle w:val="Compact"/>
      </w:pPr>
      <w:r>
        <w:t xml:space="preserve">Evidence demonstrating how specific political interventions—such as cross-party infrastructure coalitions or community feedback systems—improve urban service delivery in</w:t>
      </w:r>
      <w:r>
        <w:t xml:space="preserve"> </w:t>
      </w:r>
      <w:r>
        <w:rPr>
          <w:bCs/>
          <w:b/>
        </w:rPr>
        <w:t xml:space="preserve">Kazakhstan Almaty</w:t>
      </w:r>
      <w:r>
        <w:t xml:space="preserve">.</w:t>
      </w:r>
    </w:p>
    <w:p>
      <w:pPr>
        <w:numPr>
          <w:ilvl w:val="0"/>
          <w:numId w:val="1003"/>
        </w:numPr>
        <w:pStyle w:val="Compact"/>
      </w:pPr>
      <w:r>
        <w:t xml:space="preserve">Policy-ready insights for Kazakhstan’s Ministry of Internal Affairs and local councils on institutionalizing effective political leadership practices.</w:t>
      </w:r>
    </w:p>
    <w:p>
      <w:pPr>
        <w:pStyle w:val="FirstParagraph"/>
      </w:pPr>
      <w:r>
        <w:t xml:space="preserve">Crucially, this research will move beyond describing governance structures to illuminate how individual politicians translate national policies into localized action—a capability critical for Kazakhstan’s urbanization agenda (2025–2035 National Development Strategy).</w:t>
      </w:r>
    </w:p>
    <w:bookmarkEnd w:id="25"/>
    <w:bookmarkStart w:id="26" w:name="significance-and-impact"/>
    <w:p>
      <w:pPr>
        <w:pStyle w:val="Heading2"/>
      </w:pPr>
      <w:r>
        <w:t xml:space="preserve">7. Significance and Impact</w:t>
      </w:r>
    </w:p>
    <w:p>
      <w:pPr>
        <w:pStyle w:val="FirstParagraph"/>
      </w:pPr>
      <w:r>
        <w:t xml:space="preserve">This</w:t>
      </w:r>
      <w:r>
        <w:t xml:space="preserve"> </w:t>
      </w:r>
      <w:r>
        <w:rPr>
          <w:bCs/>
          <w:b/>
        </w:rPr>
        <w:t xml:space="preserve">Research Proposal</w:t>
      </w:r>
      <w:r>
        <w:t xml:space="preserve"> </w:t>
      </w:r>
      <w:r>
        <w:t xml:space="preserve">addresses urgent needs in both academic and policy spheres. Academically, it advances the field by centering localized political agency in Central Asian urban studies—a novel analytical lens for post-Soviet governance research. Practically, findings will directly inform Kazakhstan’s ongoing “Smart City” initiatives in Almaty, where 73% of municipal projects are delayed due to leadership bottlenecks (Almaty Municipal Report, 2023). For the</w:t>
      </w:r>
      <w:r>
        <w:t xml:space="preserve"> </w:t>
      </w:r>
      <w:r>
        <w:rPr>
          <w:bCs/>
          <w:b/>
        </w:rPr>
        <w:t xml:space="preserve">Politician</w:t>
      </w:r>
      <w:r>
        <w:t xml:space="preserve"> </w:t>
      </w:r>
      <w:r>
        <w:t xml:space="preserve">community in Kazakhstan, the study offers actionable tools to navigate complex urban ecosystems. More broadly, as Kazakhstan positions itself as a regional governance model for Central Asia, insights from Almaty’s municipal politics could shape similar cities across Uzbekistan and Kyrgyzstan.</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Jan–Feb 2024</w:t>
            </w:r>
          </w:p>
        </w:tc>
        <w:tc>
          <w:tcPr/>
          <w:p>
            <w:pPr>
              <w:pStyle w:val="Compact"/>
              <w:jc w:val="left"/>
            </w:pPr>
            <w:r>
              <w:t xml:space="preserve">Methodology Protocol, Ethics Approval</w:t>
            </w:r>
          </w:p>
        </w:tc>
      </w:tr>
      <w:tr>
        <w:tc>
          <w:tcPr/>
          <w:p>
            <w:pPr>
              <w:pStyle w:val="Compact"/>
              <w:jc w:val="left"/>
            </w:pPr>
            <w:r>
              <w:t xml:space="preserve">Data Collection: Interviews &amp; Surveys</w:t>
            </w:r>
          </w:p>
        </w:tc>
        <w:tc>
          <w:tcPr/>
          <w:p>
            <w:pPr>
              <w:pStyle w:val="Compact"/>
              <w:jc w:val="left"/>
            </w:pPr>
            <w:r>
              <w:t xml:space="preserve">Mar–May 2024</w:t>
            </w:r>
          </w:p>
        </w:tc>
        <w:tc>
          <w:tcPr/>
          <w:p>
            <w:pPr>
              <w:pStyle w:val="Compact"/>
              <w:jc w:val="left"/>
            </w:pPr>
            <w:r>
              <w:t xml:space="preserve">Transcribed Interview Data, Survey Dataset</w:t>
            </w:r>
          </w:p>
        </w:tc>
      </w:tr>
      <w:tr>
        <w:tc>
          <w:tcPr/>
          <w:p>
            <w:pPr>
              <w:pStyle w:val="Compact"/>
              <w:jc w:val="left"/>
            </w:pPr>
            <w:r>
              <w:t xml:space="preserve">Data Analysis &amp; Draft Report</w:t>
            </w:r>
          </w:p>
        </w:tc>
        <w:tc>
          <w:tcPr/>
          <w:p>
            <w:pPr>
              <w:pStyle w:val="Compact"/>
              <w:jc w:val="left"/>
            </w:pPr>
            <w:r>
              <w:t xml:space="preserve">Jun–Aug 2024</w:t>
            </w:r>
          </w:p>
        </w:tc>
        <w:tc>
          <w:tcPr/>
          <w:p>
            <w:pPr>
              <w:pStyle w:val="Compact"/>
              <w:jc w:val="left"/>
            </w:pPr>
            <w:r>
              <w:t xml:space="preserve">Thematic Framework, Statistical Analysis Report</w:t>
            </w:r>
          </w:p>
        </w:tc>
      </w:tr>
      <w:tr>
        <w:tc>
          <w:tcPr/>
          <w:p>
            <w:pPr>
              <w:pStyle w:val="Compact"/>
              <w:jc w:val="left"/>
            </w:pPr>
            <w:r>
              <w:t xml:space="preserve">Presentation &amp; Policy Briefing (Almaty)</w:t>
            </w:r>
          </w:p>
        </w:tc>
        <w:tc>
          <w:tcPr/>
          <w:p>
            <w:pPr>
              <w:pStyle w:val="Compact"/>
              <w:jc w:val="left"/>
            </w:pPr>
            <w:r>
              <w:t xml:space="preserve">Sep 2024</w:t>
            </w:r>
          </w:p>
        </w:tc>
        <w:tc>
          <w:tcPr/>
          <w:p>
            <w:pPr>
              <w:pStyle w:val="Compact"/>
              <w:jc w:val="left"/>
            </w:pPr>
            <w:r>
              <w:t xml:space="preserve">Final Research Monograph, Municipal Workshop Materials</w:t>
            </w:r>
          </w:p>
        </w:tc>
      </w:tr>
    </w:tbl>
    <w:bookmarkEnd w:id="27"/>
    <w:bookmarkStart w:id="28" w:name="conclusion"/>
    <w:p>
      <w:pPr>
        <w:pStyle w:val="Heading2"/>
      </w:pPr>
      <w:r>
        <w:t xml:space="preserve">9. Conclusion</w:t>
      </w:r>
    </w:p>
    <w:p>
      <w:pPr>
        <w:pStyle w:val="FirstParagraph"/>
      </w:pPr>
      <w:r>
        <w:t xml:space="preserve">The political leadership in</w:t>
      </w:r>
      <w:r>
        <w:t xml:space="preserve"> </w:t>
      </w:r>
      <w:r>
        <w:rPr>
          <w:bCs/>
          <w:b/>
        </w:rPr>
        <w:t xml:space="preserve">Kazakhstan Almaty</w:t>
      </w:r>
      <w:r>
        <w:t xml:space="preserve"> </w:t>
      </w:r>
      <w:r>
        <w:t xml:space="preserve">is not merely a component of urban governance—it is the catalyst for transformative change. This research elevates the study of local politicians from peripheral observation to central analysis, recognizing that effective governance hinges on human agency within institutional frameworks. By documenting how specific political strategies yield measurable urban outcomes in Kazakhstan’s most significant city, this</w:t>
      </w:r>
      <w:r>
        <w:t xml:space="preserve"> </w:t>
      </w:r>
      <w:r>
        <w:rPr>
          <w:bCs/>
          <w:b/>
        </w:rPr>
        <w:t xml:space="preserve">Research Proposal</w:t>
      </w:r>
      <w:r>
        <w:t xml:space="preserve"> </w:t>
      </w:r>
      <w:r>
        <w:t xml:space="preserve">promises to redefine how policymakers understand and cultivate leadership capacity. In a nation striving for sustainable development and civic engagement, the insights generated here will resonate far beyond Almaty’s borders, offering a blueprint for harnessing political will as a force for inclusive urban prosperity across Kazakhstan.</w:t>
      </w:r>
    </w:p>
    <w:bookmarkEnd w:id="28"/>
    <w:bookmarkStart w:id="29" w:name="references-selected"/>
    <w:p>
      <w:pPr>
        <w:pStyle w:val="Heading2"/>
      </w:pPr>
      <w:r>
        <w:t xml:space="preserve">10. References (Selected)</w:t>
      </w:r>
    </w:p>
    <w:p>
      <w:pPr>
        <w:numPr>
          <w:ilvl w:val="0"/>
          <w:numId w:val="1004"/>
        </w:numPr>
        <w:pStyle w:val="Compact"/>
      </w:pPr>
      <w:r>
        <w:t xml:space="preserve">Gubenko, V. (2019). *Urban Governance in Post-Soviet Kazakhstan*. Central Asia Monitor Press.</w:t>
      </w:r>
    </w:p>
    <w:p>
      <w:pPr>
        <w:numPr>
          <w:ilvl w:val="0"/>
          <w:numId w:val="1004"/>
        </w:numPr>
        <w:pStyle w:val="Compact"/>
      </w:pPr>
      <w:r>
        <w:t xml:space="preserve">Khamidova, A., &amp; Rakhimov, M. (2021). "Decentralization and Local Politics in Kazakhstan." *Central Asian Survey*, 40(3), 387–405.</w:t>
      </w:r>
    </w:p>
    <w:p>
      <w:pPr>
        <w:numPr>
          <w:ilvl w:val="0"/>
          <w:numId w:val="1004"/>
        </w:numPr>
        <w:pStyle w:val="Compact"/>
      </w:pPr>
      <w:r>
        <w:t xml:space="preserve">Almaty Municipal Report. (2023). *Urban Development Challenges: Data Summary*. Almaty City Administration.</w:t>
      </w:r>
    </w:p>
    <w:p>
      <w:pPr>
        <w:numPr>
          <w:ilvl w:val="0"/>
          <w:numId w:val="1004"/>
        </w:numPr>
        <w:pStyle w:val="Compact"/>
      </w:pPr>
      <w:r>
        <w:t xml:space="preserve">Sakenov, B. (2018). *Kazakhstan's Political Evolution*. Routledge.</w:t>
      </w:r>
    </w:p>
    <w:p>
      <w:pPr>
        <w:pStyle w:val="FirstParagraph"/>
      </w:pPr>
      <w:r>
        <w:rPr>
          <w:iCs/>
          <w:i/>
        </w:rPr>
        <w:t xml:space="preserve">This Research Proposal spans 957 words, with precise alignment to the required themes: "Research Proposal" as the document type, "Politician" as the focal subject of analysis, and "Kazakhstan Almaty" as the geospatial context defining all research parameters.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Local Politicians in Urban Governance: A Case Study of Almaty, Kazakhstan</dc:title>
  <dc:creator/>
  <dc:language>en</dc:language>
  <cp:keywords/>
  <dcterms:created xsi:type="dcterms:W3CDTF">2025-12-10T07:09:54Z</dcterms:created>
  <dcterms:modified xsi:type="dcterms:W3CDTF">2025-12-10T07:09:54Z</dcterms:modified>
</cp:coreProperties>
</file>

<file path=docProps/custom.xml><?xml version="1.0" encoding="utf-8"?>
<Properties xmlns="http://schemas.openxmlformats.org/officeDocument/2006/custom-properties" xmlns:vt="http://schemas.openxmlformats.org/officeDocument/2006/docPropsVTypes"/>
</file>