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ecc8416d74aebe3bd2a84433ec02a31bf2301f3"/>
    <w:p>
      <w:pPr>
        <w:pStyle w:val="Heading1"/>
      </w:pPr>
      <w:r>
        <w:t xml:space="preserve">Research Proposal: The Evolving Role of Politicians in Kuwait City, Kuwait</w:t>
      </w:r>
    </w:p>
    <w:bookmarkStart w:id="20" w:name="introduction"/>
    <w:p>
      <w:pPr>
        <w:pStyle w:val="Heading2"/>
      </w:pPr>
      <w:r>
        <w:t xml:space="preserve">1. Introduction</w:t>
      </w:r>
    </w:p>
    <w:p>
      <w:pPr>
        <w:pStyle w:val="FirstParagraph"/>
      </w:pPr>
      <w:r>
        <w:t xml:space="preserve">Kuwait City, the vibrant capital of the State of Kuwait, stands as a crucible of political innovation and tradition in the Gulf region. As the epicenter of national governance, this dynamic urban landscape demands a rigorous examination of how</w:t>
      </w:r>
      <w:r>
        <w:t xml:space="preserve"> </w:t>
      </w:r>
      <w:r>
        <w:rPr>
          <w:bCs/>
          <w:b/>
        </w:rPr>
        <w:t xml:space="preserve">Politician</w:t>
      </w:r>
      <w:r>
        <w:t xml:space="preserve">s navigate complex socio-political ecosystems. This research proposal addresses a critical gap in understanding contemporary political leadership within</w:t>
      </w:r>
      <w:r>
        <w:t xml:space="preserve"> </w:t>
      </w:r>
      <w:r>
        <w:rPr>
          <w:bCs/>
          <w:b/>
        </w:rPr>
        <w:t xml:space="preserve">Kuwait Kuwait City</w:t>
      </w:r>
      <w:r>
        <w:t xml:space="preserve">, where historical constitutional monarchy meets modern democratic aspirations. With Kuwait's National Assembly facing unprecedented challenges in legislative effectiveness and public trust, this study seeks to analyze the transformative role of politicians as catalysts for governance reform. The research is not merely academic—it directly informs national policy frameworks essential for Kuwait's sustainable development trajectory in a rapidly evolving regional context.</w:t>
      </w:r>
    </w:p>
    <w:bookmarkEnd w:id="20"/>
    <w:bookmarkStart w:id="21" w:name="problem-statement"/>
    <w:p>
      <w:pPr>
        <w:pStyle w:val="Heading2"/>
      </w:pPr>
      <w:r>
        <w:t xml:space="preserve">2. Problem Statement</w:t>
      </w:r>
    </w:p>
    <w:p>
      <w:pPr>
        <w:pStyle w:val="FirstParagraph"/>
      </w:pPr>
      <w:r>
        <w:t xml:space="preserve">Despite Kuwait City's status as the political heartland of the nation, there exists a significant knowledge void regarding the operational realities of politicians within this unique environment. Recent parliamentary impasses, public dissatisfaction with service delivery, and generational shifts in voter expectations highlight urgent needs for evidence-based institutional adaptation. Current literature predominantly focuses on constitutional structures rather than the lived experiences of</w:t>
      </w:r>
      <w:r>
        <w:t xml:space="preserve"> </w:t>
      </w:r>
      <w:r>
        <w:rPr>
          <w:bCs/>
          <w:b/>
        </w:rPr>
        <w:t xml:space="preserve">Politician</w:t>
      </w:r>
      <w:r>
        <w:t xml:space="preserve">s operating daily in</w:t>
      </w:r>
      <w:r>
        <w:t xml:space="preserve"> </w:t>
      </w:r>
      <w:r>
        <w:rPr>
          <w:bCs/>
          <w:b/>
        </w:rPr>
        <w:t xml:space="preserve">Kuwait Kuwait City</w:t>
      </w:r>
      <w:r>
        <w:t xml:space="preserve">. This oversight perpetuates ineffective policy interventions, as solutions are designed without understanding the nuanced challenges faced by those implementing them—from managing constituency demands to navigating royal directives. Without addressing these operational realities, Kuwait's political system risks further institutional erosion at a critical juncture of national development.</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evolving professional identity of elected politicians in Kuwait City, analyzing how historical roles intersect with contemporary governance demands.</w:t>
      </w:r>
    </w:p>
    <w:p>
      <w:pPr>
        <w:numPr>
          <w:ilvl w:val="0"/>
          <w:numId w:val="1001"/>
        </w:numPr>
        <w:pStyle w:val="Compact"/>
      </w:pPr>
      <w:r>
        <w:t xml:space="preserve">To identify systemic barriers hindering effective political engagement between politicians and citizens across Kuwait City's diverse districts (e.g., Al-Salmiya, Hawalli, Farwaniya).</w:t>
      </w:r>
    </w:p>
    <w:p>
      <w:pPr>
        <w:numPr>
          <w:ilvl w:val="0"/>
          <w:numId w:val="1001"/>
        </w:numPr>
        <w:pStyle w:val="Compact"/>
      </w:pPr>
      <w:r>
        <w:t xml:space="preserve">To develop evidence-based policy recommendations for strengthening the capacity of politicians as democratic intermediaries within Kuwait City's urban governance framework.</w:t>
      </w:r>
    </w:p>
    <w:bookmarkEnd w:id="22"/>
    <w:bookmarkStart w:id="23" w:name="literature-review-brief"/>
    <w:p>
      <w:pPr>
        <w:pStyle w:val="Heading2"/>
      </w:pPr>
      <w:r>
        <w:t xml:space="preserve">4. Literature Review (Brief)</w:t>
      </w:r>
    </w:p>
    <w:p>
      <w:pPr>
        <w:pStyle w:val="FirstParagraph"/>
      </w:pPr>
      <w:r>
        <w:t xml:space="preserve">Existing scholarship on Kuwaiti politics, such as Al-Awadi's (2018) work on parliamentary dynamics, establishes the foundational constitutional tension between elected bodies and executive authority. However, it lacks granular analysis of daily political operations in Kuwait City. Recent studies by Al-Sayer (2021) examine youth voter trends but ignore how politicians adapt their strategies to these shifts. Crucially, no research has systematically documented the on-the-ground challenges of</w:t>
      </w:r>
      <w:r>
        <w:t xml:space="preserve"> </w:t>
      </w:r>
      <w:r>
        <w:rPr>
          <w:bCs/>
          <w:b/>
        </w:rPr>
        <w:t xml:space="preserve">Politician</w:t>
      </w:r>
      <w:r>
        <w:t xml:space="preserve">s in Kuwait City's urban context—where rapid development meets deep-rooted tribal networks and digital-era expectations. This study bridges that gap by focusing on the micro-level interactions defining political efficacy in Kuwait City.</w:t>
      </w:r>
    </w:p>
    <w:bookmarkEnd w:id="23"/>
    <w:bookmarkStart w:id="24" w:name="methodology"/>
    <w:p>
      <w:pPr>
        <w:pStyle w:val="Heading2"/>
      </w:pPr>
      <w:r>
        <w:t xml:space="preserve">5. Methodology</w:t>
      </w:r>
    </w:p>
    <w:p>
      <w:pPr>
        <w:pStyle w:val="FirstParagraph"/>
      </w:pPr>
      <w:r>
        <w:t xml:space="preserve">We propose a mixed-methods approach designed specifically for Kuwait City's unique sociopolitical terrain:</w:t>
      </w:r>
    </w:p>
    <w:p>
      <w:pPr>
        <w:numPr>
          <w:ilvl w:val="0"/>
          <w:numId w:val="1002"/>
        </w:numPr>
        <w:pStyle w:val="Compact"/>
      </w:pPr>
      <w:r>
        <w:rPr>
          <w:bCs/>
          <w:b/>
        </w:rPr>
        <w:t xml:space="preserve">Qualitative Component:</w:t>
      </w:r>
      <w:r>
        <w:t xml:space="preserve"> </w:t>
      </w:r>
      <w:r>
        <w:t xml:space="preserve">Semi-structured interviews with 30+ active and former National Assembly members (35% women) representing all major constituencies in Kuwait City. Additionally, focus groups with 4 community leaders per district to capture grassroots perspectives.</w:t>
      </w:r>
    </w:p>
    <w:p>
      <w:pPr>
        <w:numPr>
          <w:ilvl w:val="0"/>
          <w:numId w:val="1002"/>
        </w:numPr>
        <w:pStyle w:val="Compact"/>
      </w:pPr>
      <w:r>
        <w:rPr>
          <w:bCs/>
          <w:b/>
        </w:rPr>
        <w:t xml:space="preserve">Quantitative Component:</w:t>
      </w:r>
      <w:r>
        <w:t xml:space="preserve"> </w:t>
      </w:r>
      <w:r>
        <w:t xml:space="preserve">A stratified survey of 1,200 Kuwait City residents across age, gender, and socioeconomic brackets to measure trust levels in politicians (measured via Likert scales) and service satisfaction metrics.</w:t>
      </w:r>
    </w:p>
    <w:p>
      <w:pPr>
        <w:numPr>
          <w:ilvl w:val="0"/>
          <w:numId w:val="1002"/>
        </w:numPr>
        <w:pStyle w:val="Compact"/>
      </w:pPr>
      <w:r>
        <w:rPr>
          <w:bCs/>
          <w:b/>
        </w:rPr>
        <w:t xml:space="preserve">Case Analysis:</w:t>
      </w:r>
      <w:r>
        <w:t xml:space="preserve"> </w:t>
      </w:r>
      <w:r>
        <w:t xml:space="preserve">Comparative review of 5 landmark legislative debates (e.g., municipal governance reforms, youth employment policies) with documented political negotiation strategies.</w:t>
      </w:r>
    </w:p>
    <w:p>
      <w:pPr>
        <w:numPr>
          <w:ilvl w:val="0"/>
          <w:numId w:val="1002"/>
        </w:numPr>
        <w:pStyle w:val="Compact"/>
      </w:pPr>
      <w:r>
        <w:rPr>
          <w:bCs/>
          <w:b/>
        </w:rPr>
        <w:t xml:space="preserve">Data Integration:</w:t>
      </w:r>
      <w:r>
        <w:t xml:space="preserve"> </w:t>
      </w:r>
      <w:r>
        <w:t xml:space="preserve">NVivo for thematic coding of interviews combined with SPSS for survey analysis, enabling triangulation between politician experiences and public perception.</w:t>
      </w:r>
    </w:p>
    <w:p>
      <w:pPr>
        <w:pStyle w:val="FirstParagraph"/>
      </w:pPr>
      <w:r>
        <w:t xml:space="preserve">All data collection will adhere to Kuwait's ethical research standards under the Ministry of Social Affairs and Labor framework. Fieldwork will occur across Kuwait City's administrative zones from June–October 2025, ensuring geographic representation of urban challenges.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promises transformative outcomes for Kuwait:</w:t>
      </w:r>
    </w:p>
    <w:p>
      <w:pPr>
        <w:numPr>
          <w:ilvl w:val="0"/>
          <w:numId w:val="1003"/>
        </w:numPr>
        <w:pStyle w:val="Compact"/>
      </w:pPr>
      <w:r>
        <w:rPr>
          <w:iCs/>
          <w:i/>
        </w:rPr>
        <w:t xml:space="preserve">Policy Impact:</w:t>
      </w:r>
      <w:r>
        <w:t xml:space="preserve"> </w:t>
      </w:r>
      <w:r>
        <w:t xml:space="preserve">Drafting a "Kuwait City Political Engagement Framework" to guide the National Assembly in designing responsive constituency outreach models, directly addressing current gaps identified through public surveys.</w:t>
      </w:r>
    </w:p>
    <w:p>
      <w:pPr>
        <w:numPr>
          <w:ilvl w:val="0"/>
          <w:numId w:val="1003"/>
        </w:numPr>
        <w:pStyle w:val="Compact"/>
      </w:pPr>
      <w:r>
        <w:rPr>
          <w:iCs/>
          <w:i/>
        </w:rPr>
        <w:t xml:space="preserve">Institutional Development:</w:t>
      </w:r>
      <w:r>
        <w:t xml:space="preserve"> </w:t>
      </w:r>
      <w:r>
        <w:t xml:space="preserve">Creating a capacity-building toolkit for politicians featuring negotiation protocols for cross-party consensus on urban development issues (e.g., traffic management, housing affordability) unique to Kuwait City's density.</w:t>
      </w:r>
    </w:p>
    <w:p>
      <w:pPr>
        <w:numPr>
          <w:ilvl w:val="0"/>
          <w:numId w:val="1003"/>
        </w:numPr>
        <w:pStyle w:val="Compact"/>
      </w:pPr>
      <w:r>
        <w:rPr>
          <w:iCs/>
          <w:i/>
        </w:rPr>
        <w:t xml:space="preserve">Academic Contribution:</w:t>
      </w:r>
      <w:r>
        <w:t xml:space="preserve"> </w:t>
      </w:r>
      <w:r>
        <w:t xml:space="preserve">Establishing the first comprehensive database of politician-citizen interaction patterns in Gulf urban centers, filling a void in comparative Middle Eastern political science research.</w:t>
      </w:r>
    </w:p>
    <w:p>
      <w:pPr>
        <w:pStyle w:val="FirstParagraph"/>
      </w:pPr>
      <w:r>
        <w:t xml:space="preserve">The significance extends beyond academia. By centering the voice of Kuwait City politicians—a group pivotal to national stability—this research directly supports His Highness the Amir's vision for "Kuwait 2035" through enhanced governance quality. As Kuwait City grapples with rising population density and climate pressures, understanding how</w:t>
      </w:r>
      <w:r>
        <w:t xml:space="preserve"> </w:t>
      </w:r>
      <w:r>
        <w:rPr>
          <w:bCs/>
          <w:b/>
        </w:rPr>
        <w:t xml:space="preserve">Politician</w:t>
      </w:r>
      <w:r>
        <w:t xml:space="preserve">s translate public needs into actionable policy will determine the city's livability and economic competitiveness.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Pre-Fieldwork (Literature, Ethics, Instrument Design)</w:t>
      </w:r>
    </w:p>
    <w:p>
      <w:pPr>
        <w:pStyle w:val="BodyText"/>
      </w:pPr>
      <w:r>
        <w:t xml:space="preserve">Months 1–2</w:t>
      </w:r>
    </w:p>
    <w:p>
      <w:pPr>
        <w:pStyle w:val="BodyText"/>
      </w:pPr>
      <w:r>
        <w:t xml:space="preserve">Certified ethics approval; validated interview protocols; survey instrument finalized.</w:t>
      </w:r>
    </w:p>
    <w:p>
      <w:pPr>
        <w:pStyle w:val="BodyText"/>
      </w:pPr>
      <w:r>
        <w:t xml:space="preserve">Data Collection</w:t>
      </w:r>
    </w:p>
    <w:p>
      <w:pPr>
        <w:pStyle w:val="BodyText"/>
      </w:pPr>
      <w:r>
        <w:t xml:space="preserve">Months 3–5</w:t>
      </w:r>
    </w:p>
    <w:p>
      <w:pPr>
        <w:pStyle w:val="BodyText"/>
      </w:pPr>
      <w:r>
        <w:t xml:space="preserve">Completed interviews (30+ politicians)</w:t>
      </w:r>
    </w:p>
    <w:p>
      <w:pPr>
        <w:pStyle w:val="BodyText"/>
      </w:pPr>
      <w:r>
        <w:t xml:space="preserve">1,200 citizen survey responses</w:t>
      </w:r>
    </w:p>
    <w:p>
      <w:pPr>
        <w:pStyle w:val="BodyText"/>
      </w:pPr>
      <w:r>
        <w:t xml:space="preserve">Data Analysis &amp; Drafting</w:t>
      </w:r>
    </w:p>
    <w:p>
      <w:pPr>
        <w:pStyle w:val="BodyText"/>
      </w:pPr>
      <w:r>
        <w:t xml:space="preserve">Months 6–8</w:t>
      </w:r>
    </w:p>
    <w:p>
      <w:pPr>
        <w:pStyle w:val="BodyText"/>
      </w:pPr>
      <w:r>
        <w:t xml:space="preserve">Narrative report; statistical analysis; policy brief outline.</w:t>
      </w:r>
    </w:p>
    <w:p>
      <w:pPr>
        <w:pStyle w:val="BodyText"/>
      </w:pPr>
      <w:r>
        <w:t xml:space="preserve">Stakeholder Validation &amp; Final Report</w:t>
      </w:r>
    </w:p>
    <w:p>
      <w:pPr>
        <w:pStyle w:val="BodyText"/>
      </w:pPr>
      <w:r>
        <w:t xml:space="preserve">Months 9–10</w:t>
      </w:r>
    </w:p>
    <w:p>
      <w:pPr>
        <w:pStyle w:val="BodyText"/>
      </w:pPr>
      <w:r>
        <w:t xml:space="preserve">Presentation to National Assembly committee; final research document with institutional recommendations.</w:t>
      </w:r>
    </w:p>
    <w:bookmarkEnd w:id="26"/>
    <w:bookmarkStart w:id="27" w:name="conclusion"/>
    <w:p>
      <w:pPr>
        <w:pStyle w:val="Heading2"/>
      </w:pPr>
      <w:r>
        <w:t xml:space="preserve">8. Conclusion</w:t>
      </w:r>
    </w:p>
    <w:p>
      <w:pPr>
        <w:pStyle w:val="FirstParagraph"/>
      </w:pPr>
      <w:r>
        <w:t xml:space="preserve">The political landscape of Kuwait City demands urgent scholarly attention. This Research Proposal provides a rigorous, context-specific roadmap for understanding how the modern</w:t>
      </w:r>
      <w:r>
        <w:t xml:space="preserve"> </w:t>
      </w:r>
      <w:r>
        <w:rPr>
          <w:bCs/>
          <w:b/>
        </w:rPr>
        <w:t xml:space="preserve">Politician</w:t>
      </w:r>
      <w:r>
        <w:t xml:space="preserve"> </w:t>
      </w:r>
      <w:r>
        <w:t xml:space="preserve">operates within Kuwait's distinctive governance framework—a framework that places Kuwait City at the intersection of tradition and progress. By centering the lived experiences of those who lead within this vibrant capital, we move beyond theoretical debates to generate actionable insights for strengthening democracy in Kuwait. The outcomes will not merely inform academics but directly equip elected officials with strategies to rebuild public trust through transparent, responsive governance. In doing so, this research fulfills its commitment to advancing Kuwait City as a model of effective urban political leadership in the Gulf—proving that when</w:t>
      </w:r>
      <w:r>
        <w:t xml:space="preserve"> </w:t>
      </w:r>
      <w:r>
        <w:rPr>
          <w:bCs/>
          <w:b/>
        </w:rPr>
        <w:t xml:space="preserve">Politician</w:t>
      </w:r>
      <w:r>
        <w:t xml:space="preserve">s are empowered with evidence-based tools, Kuwait's democratic future becomes not just possible but inevitable.</w:t>
      </w:r>
    </w:p>
    <w:bookmarkEnd w:id="27"/>
    <w:bookmarkStart w:id="28" w:name="references-selected"/>
    <w:p>
      <w:pPr>
        <w:pStyle w:val="Heading2"/>
      </w:pPr>
      <w:r>
        <w:t xml:space="preserve">9. References (Selected)</w:t>
      </w:r>
    </w:p>
    <w:p>
      <w:pPr>
        <w:pStyle w:val="FirstParagraph"/>
      </w:pPr>
      <w:r>
        <w:t xml:space="preserve">Al-Awadi, M. (2018). *The Parliamentary System in Kuwait: Constitutional Evolution*. Kuwait University Press.</w:t>
      </w:r>
      <w:r>
        <w:br/>
      </w:r>
      <w:r>
        <w:t xml:space="preserve">Al-Sayer, F. (2021). Youth Political Participation in the Gulf: The Kuwaiti Case. *Journal of Arabian Studies*, 11(3), 45–67.</w:t>
      </w:r>
      <w:r>
        <w:br/>
      </w:r>
      <w:r>
        <w:t xml:space="preserve">State of Kuwait National Development Plan (2035). Ministry of Planning, Kuwait.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Politicians in Kuwait City, Kuwait</dc:title>
  <dc:creator/>
  <dc:language>en</dc:language>
  <cp:keywords/>
  <dcterms:created xsi:type="dcterms:W3CDTF">2026-07-23T15:45:40Z</dcterms:created>
  <dcterms:modified xsi:type="dcterms:W3CDTF">2026-07-23T15:45:40Z</dcterms:modified>
</cp:coreProperties>
</file>

<file path=docProps/custom.xml><?xml version="1.0" encoding="utf-8"?>
<Properties xmlns="http://schemas.openxmlformats.org/officeDocument/2006/custom-properties" xmlns:vt="http://schemas.openxmlformats.org/officeDocument/2006/docPropsVTypes"/>
</file>