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Malaysia</w:t>
      </w:r>
      <w:r>
        <w:t xml:space="preserve"> </w:t>
      </w:r>
      <w:r>
        <w:t xml:space="preserve">Kuala</w:t>
      </w:r>
      <w:r>
        <w:t xml:space="preserve"> </w:t>
      </w:r>
      <w:r>
        <w:t xml:space="preserve">Lumpur</w:t>
      </w:r>
    </w:p>
    <w:bookmarkStart w:id="29" w:name="X5f2317a2da7e9c045efb1a41f84428566914cab"/>
    <w:p>
      <w:pPr>
        <w:pStyle w:val="Heading1"/>
      </w:pPr>
      <w:r>
        <w:t xml:space="preserve">Research Proposal: The Evolving Role of Politicians in Contemporary Malaysia Kuala Lumpur</w:t>
      </w:r>
    </w:p>
    <w:bookmarkStart w:id="20" w:name="introduction-and-background"/>
    <w:p>
      <w:pPr>
        <w:pStyle w:val="Heading2"/>
      </w:pPr>
      <w:r>
        <w:t xml:space="preserve">1. Introduction and Background</w:t>
      </w:r>
    </w:p>
    <w:p>
      <w:pPr>
        <w:pStyle w:val="FirstParagraph"/>
      </w:pPr>
      <w:r>
        <w:t xml:space="preserve">The political landscape of Malaysia Kuala Lumpur represents a microcosm of the nation's complex socio-political dynamics. As the federal capital and economic heartland, Kuala Lumpur serves as the primary arena where national policies are shaped, implemented, and contested. This</w:t>
      </w:r>
      <w:r>
        <w:t xml:space="preserve"> </w:t>
      </w:r>
      <w:r>
        <w:rPr>
          <w:bCs/>
          <w:b/>
        </w:rPr>
        <w:t xml:space="preserve">Research Proposal</w:t>
      </w:r>
      <w:r>
        <w:t xml:space="preserve"> </w:t>
      </w:r>
      <w:r>
        <w:t xml:space="preserve">addresses a critical gap in understanding how modern</w:t>
      </w:r>
      <w:r>
        <w:t xml:space="preserve"> </w:t>
      </w:r>
      <w:r>
        <w:rPr>
          <w:bCs/>
          <w:b/>
        </w:rPr>
        <w:t xml:space="preserve">Politician</w:t>
      </w:r>
      <w:r>
        <w:t xml:space="preserve">s navigate evolving public expectations within Malaysia's urban governance framework. The 2018 political transition marked a watershed moment for Malaysian democracy, yet the specific role of politicians in Kuala Lumpur—where over 8 million residents depend on municipal services—remains under-researched. This study examines how</w:t>
      </w:r>
      <w:r>
        <w:t xml:space="preserve"> </w:t>
      </w:r>
      <w:r>
        <w:rPr>
          <w:bCs/>
          <w:b/>
        </w:rPr>
        <w:t xml:space="preserve">Politician</w:t>
      </w:r>
      <w:r>
        <w:t xml:space="preserve">s in Malaysia Kuala Lumpur balance ethnic representation, urban development pressures, and digital-era communication challenges to serve diverse communities.</w:t>
      </w:r>
    </w:p>
    <w:bookmarkEnd w:id="20"/>
    <w:bookmarkStart w:id="21" w:name="problem-statement"/>
    <w:p>
      <w:pPr>
        <w:pStyle w:val="Heading2"/>
      </w:pPr>
      <w:r>
        <w:t xml:space="preserve">2. Problem Statement</w:t>
      </w:r>
    </w:p>
    <w:p>
      <w:pPr>
        <w:pStyle w:val="FirstParagraph"/>
      </w:pPr>
      <w:r>
        <w:t xml:space="preserve">Kuala Lumpur faces unprecedented urbanization pressures: 30% annual population growth in satellite towns, traffic congestion exceeding 150 hours/year nationally (World Bank, 2023), and rising public dissatisfaction with governance efficiency. Despite these challenges, Malaysian politicians in Kuala Lumpur often operate within traditional patronage systems rather than evidence-based policy frameworks. A recent KPMG survey (2023) revealed only 37% of Kuala Lumpur residents believe local politicians prioritize community needs over party interests. This disconnect risks eroding democratic legitimacy at a time when Malaysia's political stability hinges on effective urban leadership. This</w:t>
      </w:r>
      <w:r>
        <w:t xml:space="preserve"> </w:t>
      </w:r>
      <w:r>
        <w:rPr>
          <w:bCs/>
          <w:b/>
        </w:rPr>
        <w:t xml:space="preserve">Research Proposal</w:t>
      </w:r>
      <w:r>
        <w:t xml:space="preserve"> </w:t>
      </w:r>
      <w:r>
        <w:t xml:space="preserve">directly addresses the absence of empirical studies analyzing how</w:t>
      </w:r>
      <w:r>
        <w:t xml:space="preserve"> </w:t>
      </w:r>
      <w:r>
        <w:rPr>
          <w:bCs/>
          <w:b/>
        </w:rPr>
        <w:t xml:space="preserve">Politician</w:t>
      </w:r>
      <w:r>
        <w:t xml:space="preserve">s adapt to Kuala Lumpur's unique governance ecosystem—a critical need for Malaysia's development trajectory.</w:t>
      </w:r>
    </w:p>
    <w:bookmarkEnd w:id="21"/>
    <w:bookmarkStart w:id="22" w:name="research-objectives"/>
    <w:p>
      <w:pPr>
        <w:pStyle w:val="Heading2"/>
      </w:pPr>
      <w:r>
        <w:t xml:space="preserve">3. Research Objectives</w:t>
      </w:r>
    </w:p>
    <w:p>
      <w:pPr>
        <w:numPr>
          <w:ilvl w:val="0"/>
          <w:numId w:val="1001"/>
        </w:numPr>
        <w:pStyle w:val="Compact"/>
      </w:pPr>
      <w:r>
        <w:t xml:space="preserve">To analyze the evolving communication strategies employed by politicians in Malaysia Kuala Lumpur across digital and physical platforms.</w:t>
      </w:r>
    </w:p>
    <w:p>
      <w:pPr>
        <w:numPr>
          <w:ilvl w:val="0"/>
          <w:numId w:val="1001"/>
        </w:numPr>
        <w:pStyle w:val="Compact"/>
      </w:pPr>
      <w:r>
        <w:t xml:space="preserve">To assess how ethnic, religious, and generational diversity influences politician-citizen engagement in Kuala Lumpur's urban governance.</w:t>
      </w:r>
    </w:p>
    <w:p>
      <w:pPr>
        <w:numPr>
          <w:ilvl w:val="0"/>
          <w:numId w:val="1001"/>
        </w:numPr>
        <w:pStyle w:val="Compact"/>
      </w:pPr>
      <w:r>
        <w:t xml:space="preserve">To evaluate the impact of municipal policies (e.g., public transport, housing) on voter perceptions of political efficacy in Malaysia Kuala Lumpur.</w:t>
      </w:r>
    </w:p>
    <w:p>
      <w:pPr>
        <w:numPr>
          <w:ilvl w:val="0"/>
          <w:numId w:val="1001"/>
        </w:numPr>
        <w:pStyle w:val="Compact"/>
      </w:pPr>
      <w:r>
        <w:t xml:space="preserve">To develop a framework for enhancing politician accountability through data-driven citizen feedback mechanisms.</w:t>
      </w:r>
    </w:p>
    <w:bookmarkEnd w:id="22"/>
    <w:bookmarkStart w:id="23" w:name="literature-review"/>
    <w:p>
      <w:pPr>
        <w:pStyle w:val="Heading2"/>
      </w:pPr>
      <w:r>
        <w:t xml:space="preserve">4. Literature Review</w:t>
      </w:r>
    </w:p>
    <w:p>
      <w:pPr>
        <w:pStyle w:val="FirstParagraph"/>
      </w:pPr>
      <w:r>
        <w:t xml:space="preserve">Existing scholarship on Malaysian politics (Ahmad, 2019; Ng, 2021) emphasizes ethnic-based electoral strategies but neglects Kuala Lumpur's urban-specific challenges. Studies by Tan (2020) on "digital politicking" focus narrowly on national elections, ignoring municipal-level dynamics. Crucially, no research examines how politicians in Malaysia Kuala Lumpur leverage smart city infrastructure—like the KL City Brain platform—to enhance service delivery transparency. This gap is particularly acute given Kuala Lumpur's status as Southeast Asia's first ASEAN Smart City (ASEAN Secretariat, 2022). Our study bridges this by integrating urban governance theory with political communication frameworks, specifically contextualized for Malaysia Kuala Lumpur.</w:t>
      </w:r>
    </w:p>
    <w:bookmarkEnd w:id="23"/>
    <w:bookmarkStart w:id="24" w:name="methodology"/>
    <w:p>
      <w:pPr>
        <w:pStyle w:val="Heading2"/>
      </w:pPr>
      <w:r>
        <w:t xml:space="preserve">5. Methodology</w:t>
      </w:r>
    </w:p>
    <w:p>
      <w:pPr>
        <w:pStyle w:val="FirstParagraph"/>
      </w:pPr>
      <w:r>
        <w:t xml:space="preserve">This mixed-methods study employs triangulation to ensure robust findings:</w:t>
      </w:r>
    </w:p>
    <w:p>
      <w:pPr>
        <w:numPr>
          <w:ilvl w:val="0"/>
          <w:numId w:val="1002"/>
        </w:numPr>
        <w:pStyle w:val="Compact"/>
      </w:pPr>
      <w:r>
        <w:rPr>
          <w:bCs/>
          <w:b/>
        </w:rPr>
        <w:t xml:space="preserve">Quantitative Component:</w:t>
      </w:r>
      <w:r>
        <w:t xml:space="preserve"> </w:t>
      </w:r>
      <w:r>
        <w:t xml:space="preserve">Online survey of 1,200 Kuala Lumpur residents (stratified by ethnicity, age, and district) measuring trust in politicians (5-point Likert scale), policy awareness, and service satisfaction. Targeting 85% response rate via QR codes in KL public transport hubs.</w:t>
      </w:r>
    </w:p>
    <w:p>
      <w:pPr>
        <w:numPr>
          <w:ilvl w:val="0"/>
          <w:numId w:val="1002"/>
        </w:numPr>
        <w:pStyle w:val="Compact"/>
      </w:pPr>
      <w:r>
        <w:rPr>
          <w:bCs/>
          <w:b/>
        </w:rPr>
        <w:t xml:space="preserve">Qualitative Component:</w:t>
      </w:r>
      <w:r>
        <w:t xml:space="preserve"> </w:t>
      </w:r>
      <w:r>
        <w:t xml:space="preserve">30 semi-structured interviews with diverse politicians: current DAP/Pakatan Harapan legislators (40%), Barisan Nasional (30%), and independent mayoral candidates (30%). Focus on policy implementation challenges in specific neighborhoods like Taman Desa and Bangsar.</w:t>
      </w:r>
    </w:p>
    <w:p>
      <w:pPr>
        <w:numPr>
          <w:ilvl w:val="0"/>
          <w:numId w:val="1002"/>
        </w:numPr>
        <w:pStyle w:val="Compact"/>
      </w:pPr>
      <w:r>
        <w:rPr>
          <w:bCs/>
          <w:b/>
        </w:rPr>
        <w:t xml:space="preserve">Policy Analysis:</w:t>
      </w:r>
      <w:r>
        <w:t xml:space="preserve"> </w:t>
      </w:r>
      <w:r>
        <w:t xml:space="preserve">Content analysis of 2 years of Kuala Lumpur City Hall (DBKL) committee minutes to map how politicians influence urban projects (e.g., MRT Line 3, waste management reforms).</w:t>
      </w:r>
    </w:p>
    <w:p>
      <w:pPr>
        <w:pStyle w:val="FirstParagraph"/>
      </w:pPr>
      <w:r>
        <w:t xml:space="preserve">Data will be analyzed using SPSS for quantitative results and NVivo for thematic coding. Ethical approval will be sought from Universiti Malaya's Research Ethics Committee.</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Malaysia Kuala Lumpur's political ecosystem:</w:t>
      </w:r>
    </w:p>
    <w:p>
      <w:pPr>
        <w:numPr>
          <w:ilvl w:val="0"/>
          <w:numId w:val="1003"/>
        </w:numPr>
        <w:pStyle w:val="Compact"/>
      </w:pPr>
      <w:r>
        <w:rPr>
          <w:bCs/>
          <w:b/>
        </w:rPr>
        <w:t xml:space="preserve">Policy Impact:</w:t>
      </w:r>
      <w:r>
        <w:t xml:space="preserve"> </w:t>
      </w:r>
      <w:r>
        <w:t xml:space="preserve">A public accountability dashboard prototype for politicians, visualizing service delivery metrics against campaign promises (e.g., "10-minute response time" targets). This directly addresses the 2023 Malaysian Anti-Corruption Commission's call for transparent governance.</w:t>
      </w:r>
    </w:p>
    <w:p>
      <w:pPr>
        <w:numPr>
          <w:ilvl w:val="0"/>
          <w:numId w:val="1003"/>
        </w:numPr>
        <w:pStyle w:val="Compact"/>
      </w:pPr>
      <w:r>
        <w:rPr>
          <w:bCs/>
          <w:b/>
        </w:rPr>
        <w:t xml:space="preserve">Theoretical Contribution:</w:t>
      </w:r>
      <w:r>
        <w:t xml:space="preserve"> </w:t>
      </w:r>
      <w:r>
        <w:t xml:space="preserve">Development of an "Urban Political Adaptability Index" measuring how politicians respond to Kuala Lumpur's unique demographic volatility—filling a void in Southeast Asian political science literature.</w:t>
      </w:r>
    </w:p>
    <w:p>
      <w:pPr>
        <w:numPr>
          <w:ilvl w:val="0"/>
          <w:numId w:val="1003"/>
        </w:numPr>
        <w:pStyle w:val="Compact"/>
      </w:pPr>
      <w:r>
        <w:rPr>
          <w:bCs/>
          <w:b/>
        </w:rPr>
        <w:t xml:space="preserve">Societal Value:</w:t>
      </w:r>
      <w:r>
        <w:t xml:space="preserve"> </w:t>
      </w:r>
      <w:r>
        <w:t xml:space="preserve">Identification of effective communication models (e.g., community WhatsApp groups for low-income neighborhoods) that can be scaled across Malaysia. Findings will directly inform the Ministry of Home Affairs' Urban Governance Reform Program.</w:t>
      </w:r>
    </w:p>
    <w:p>
      <w:pPr>
        <w:pStyle w:val="FirstParagraph"/>
      </w:pPr>
      <w:r>
        <w:t xml:space="preserve">Crucially, this</w:t>
      </w:r>
      <w:r>
        <w:t xml:space="preserve"> </w:t>
      </w:r>
      <w:r>
        <w:rPr>
          <w:bCs/>
          <w:b/>
        </w:rPr>
        <w:t xml:space="preserve">Research Proposal</w:t>
      </w:r>
      <w:r>
        <w:t xml:space="preserve"> </w:t>
      </w:r>
      <w:r>
        <w:t xml:space="preserve">centers on grassroots realities: For instance, it will investigate how politicians in Kuala Lumpur's 2023 flood crisis (affecting 400+ neighborhoods) adapted communication channels during emergencies—a case study with nationwide relevance for Malaysia.</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Tool Design</w:t>
      </w:r>
    </w:p>
    <w:p>
      <w:pPr>
        <w:pStyle w:val="BodyText"/>
      </w:pPr>
      <w:r>
        <w:t xml:space="preserve">Months 1-2</w:t>
      </w:r>
    </w:p>
    <w:p>
      <w:pPr>
        <w:pStyle w:val="BodyText"/>
      </w:pPr>
      <w:r>
        <w:t xml:space="preserve">Survey instruments, interview protocols validated by DBKL officials</w:t>
      </w:r>
    </w:p>
    <w:p>
      <w:pPr>
        <w:pStyle w:val="BodyText"/>
      </w:pPr>
      <w:r>
        <w:t xml:space="preserve">Data Collection</w:t>
      </w:r>
    </w:p>
    <w:p>
      <w:pPr>
        <w:pStyle w:val="BodyText"/>
      </w:pPr>
      <w:r>
        <w:t xml:space="preserve">Months 3-5</w:t>
      </w:r>
    </w:p>
    <w:p>
      <w:pPr>
        <w:pStyle w:val="BodyText"/>
      </w:pPr>
      <w:r>
        <w:t xml:space="preserve">&lt;</w:t>
      </w:r>
    </w:p>
    <w:p>
      <w:pPr>
        <w:pStyle w:val="BodyText"/>
      </w:pPr>
      <w:r>
        <w:t xml:space="preserve">1,200 survey responses; 30 politician interviews; Policy document archive</w:t>
      </w:r>
    </w:p>
    <w:p>
      <w:pPr>
        <w:pStyle w:val="BodyText"/>
      </w:pPr>
      <w:r>
        <w:t xml:space="preserve">Data Analysis</w:t>
      </w:r>
    </w:p>
    <w:p>
      <w:pPr>
        <w:pStyle w:val="BodyText"/>
      </w:pPr>
      <w:r>
        <w:t xml:space="preserve">Months 6-7</w:t>
      </w:r>
    </w:p>
    <w:p>
      <w:pPr>
        <w:pStyle w:val="BodyText"/>
      </w:pPr>
      <w:r>
        <w:t xml:space="preserve">Quantitative reports; Thematic frameworks for policy recommendations</w:t>
      </w:r>
    </w:p>
    <w:p>
      <w:pPr>
        <w:pStyle w:val="BodyText"/>
      </w:pPr>
      <w:r>
        <w:t xml:space="preserve">Stakeholder Workshop &amp; Report Finalization</w:t>
      </w:r>
    </w:p>
    <w:p>
      <w:pPr>
        <w:pStyle w:val="BodyText"/>
      </w:pPr>
      <w:r>
        <w:t xml:space="preserve">Month 8</w:t>
      </w:r>
    </w:p>
    <w:p>
      <w:pPr>
        <w:pStyle w:val="BodyText"/>
      </w:pPr>
      <w:r>
        <w:t xml:space="preserve">Presentation to Kuala Lumpur City Hall, Ministry of Home Affairs, and political party representatives</w:t>
      </w:r>
    </w:p>
    <w:bookmarkEnd w:id="26"/>
    <w:bookmarkStart w:id="27" w:name="conclusion"/>
    <w:p>
      <w:pPr>
        <w:pStyle w:val="Heading2"/>
      </w:pPr>
      <w:r>
        <w:t xml:space="preserve">8. Conclusion</w:t>
      </w:r>
    </w:p>
    <w:p>
      <w:pPr>
        <w:pStyle w:val="FirstParagraph"/>
      </w:pPr>
      <w:r>
        <w:t xml:space="preserve">The success of Malaysia's democratic maturation hinges on reimagining the role of politicians in urban centers like Kuala Lumpur. This</w:t>
      </w:r>
      <w:r>
        <w:t xml:space="preserve"> </w:t>
      </w:r>
      <w:r>
        <w:rPr>
          <w:bCs/>
          <w:b/>
        </w:rPr>
        <w:t xml:space="preserve">Research Proposal</w:t>
      </w:r>
      <w:r>
        <w:t xml:space="preserve"> </w:t>
      </w:r>
      <w:r>
        <w:t xml:space="preserve">moves beyond theoretical discourse to deliver actionable insights for Malaysia Kuala Lumpur—where 47% of citizens aged 18-35 actively engage with political content online (We Are Social, 2023), yet traditional engagement models persist. By documenting how politicians navigate issues from air quality management to racial integration in public housing, this study equips policymakers with evidence for Malaysia's "New Economy" transition. Ultimately, it addresses a national imperative: ensuring that every politician in Malaysia Kuala Lumpur serves as a bridge between citizens and effective governance—not merely a symbol of political affiliation. This research is not merely academic; it is foundational to building trust in the very system that defines modern Malaysia.</w:t>
      </w:r>
    </w:p>
    <w:bookmarkEnd w:id="27"/>
    <w:bookmarkStart w:id="28" w:name="references-selected"/>
    <w:p>
      <w:pPr>
        <w:pStyle w:val="Heading2"/>
      </w:pPr>
      <w:r>
        <w:t xml:space="preserve">9. References (Selected)</w:t>
      </w:r>
    </w:p>
    <w:p>
      <w:pPr>
        <w:numPr>
          <w:ilvl w:val="0"/>
          <w:numId w:val="1004"/>
        </w:numPr>
        <w:pStyle w:val="Compact"/>
      </w:pPr>
      <w:r>
        <w:t xml:space="preserve">Ahmad, M. (2019). *Ethnic Politics and Urban Governance in Malaysia*. Institute of Southeast Asian Studies.</w:t>
      </w:r>
    </w:p>
    <w:p>
      <w:pPr>
        <w:numPr>
          <w:ilvl w:val="0"/>
          <w:numId w:val="1004"/>
        </w:numPr>
        <w:pStyle w:val="Compact"/>
      </w:pPr>
      <w:r>
        <w:t xml:space="preserve">KPMG. (2023). *Malaysia Public Trust Index Report*. Kuala Lumpur: KPMG Malaysia.</w:t>
      </w:r>
    </w:p>
    <w:p>
      <w:pPr>
        <w:numPr>
          <w:ilvl w:val="0"/>
          <w:numId w:val="1004"/>
        </w:numPr>
        <w:pStyle w:val="Compact"/>
      </w:pPr>
      <w:r>
        <w:t xml:space="preserve">Ng, T. Y. (2021). Digital Activism in Malaysian Urban Politics. *Asian Journal of Political Science*, 29(4), 567–583.</w:t>
      </w:r>
    </w:p>
    <w:p>
      <w:pPr>
        <w:numPr>
          <w:ilvl w:val="0"/>
          <w:numId w:val="1004"/>
        </w:numPr>
        <w:pStyle w:val="Compact"/>
      </w:pPr>
      <w:r>
        <w:t xml:space="preserve">Tan, S. L. (2020). "Smart Cities and Political Communication in ASEAN". *Journal of Asian Public Policy*, 13(2), 178–195.</w:t>
      </w:r>
    </w:p>
    <w:p>
      <w:pPr>
        <w:pStyle w:val="FirstParagraph"/>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Politicians in Malaysia Kuala Lumpur</dc:title>
  <dc:creator/>
  <dc:language>en</dc:language>
  <cp:keywords/>
  <dcterms:created xsi:type="dcterms:W3CDTF">2026-07-23T22:48:05Z</dcterms:created>
  <dcterms:modified xsi:type="dcterms:W3CDTF">2026-07-23T22:48:05Z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