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Political</w:t>
      </w:r>
      <w:r>
        <w:t xml:space="preserve"> </w:t>
      </w:r>
      <w:r>
        <w:t xml:space="preserve">Dynamics</w:t>
      </w:r>
      <w:r>
        <w:t xml:space="preserve"> </w:t>
      </w:r>
      <w:r>
        <w:t xml:space="preserve">of</w:t>
      </w:r>
      <w:r>
        <w:t xml:space="preserve"> </w:t>
      </w:r>
      <w:r>
        <w:t xml:space="preserve">a</w:t>
      </w:r>
      <w:r>
        <w:t xml:space="preserve"> </w:t>
      </w:r>
      <w:r>
        <w:t xml:space="preserve">Politician</w:t>
      </w:r>
      <w:r>
        <w:t xml:space="preserve"> </w:t>
      </w:r>
      <w:r>
        <w:t xml:space="preserve">in</w:t>
      </w:r>
      <w:r>
        <w:t xml:space="preserve"> </w:t>
      </w:r>
      <w:r>
        <w:t xml:space="preserve">Myanmar</w:t>
      </w:r>
      <w:r>
        <w:t xml:space="preserve"> </w:t>
      </w:r>
      <w:r>
        <w:t xml:space="preserve">Yangon</w:t>
      </w:r>
    </w:p>
    <w:bookmarkStart w:id="28" w:name="X3009dfd8697971cce00909e97ee72463255a013"/>
    <w:p>
      <w:pPr>
        <w:pStyle w:val="Heading1"/>
      </w:pPr>
      <w:r>
        <w:t xml:space="preserve">Research Proposal: Political Dynamics of a Politician in Contemporary Myanmar Yangon</w:t>
      </w:r>
    </w:p>
    <w:bookmarkStart w:id="20" w:name="introduction-and-background"/>
    <w:p>
      <w:pPr>
        <w:pStyle w:val="Heading2"/>
      </w:pPr>
      <w:r>
        <w:t xml:space="preserve">1. Introduction and Background</w:t>
      </w:r>
    </w:p>
    <w:p>
      <w:pPr>
        <w:pStyle w:val="FirstParagraph"/>
      </w:pPr>
      <w:r>
        <w:t xml:space="preserve">The political landscape of Myanmar has undergone profound transformations since the 2010s, with Yangon emerging as the epicenter of democratic aspirations and governance challenges. As the largest city and former capital of Myanmar, Yangon represents a microcosm of national political struggles, where every decision by a</w:t>
      </w:r>
      <w:r>
        <w:t xml:space="preserve"> </w:t>
      </w:r>
      <w:r>
        <w:rPr>
          <w:bCs/>
          <w:b/>
        </w:rPr>
        <w:t xml:space="preserve">Politician</w:t>
      </w:r>
      <w:r>
        <w:t xml:space="preserve"> </w:t>
      </w:r>
      <w:r>
        <w:t xml:space="preserve">reverberates across diverse communities. This</w:t>
      </w:r>
      <w:r>
        <w:t xml:space="preserve"> </w:t>
      </w:r>
      <w:r>
        <w:rPr>
          <w:bCs/>
          <w:b/>
        </w:rPr>
        <w:t xml:space="preserve">Research Proposal</w:t>
      </w:r>
      <w:r>
        <w:t xml:space="preserve"> </w:t>
      </w:r>
      <w:r>
        <w:t xml:space="preserve">investigates the evolving role of politicians in Yangon within Myanmar's complex socio-political ecosystem. The study addresses critical gaps in understanding how local-level political actors navigate military influence, ethnic diversity, urban governance, and public expectations in a post-transition context. With Myanmar's democracy still fragile following the 2021 coup, this research becomes increasingly urgent for scholars and policymakers seeking sustainable civic engagement pathways.</w:t>
      </w:r>
    </w:p>
    <w:bookmarkEnd w:id="20"/>
    <w:bookmarkStart w:id="21" w:name="problem-statement"/>
    <w:p>
      <w:pPr>
        <w:pStyle w:val="Heading2"/>
      </w:pPr>
      <w:r>
        <w:t xml:space="preserve">2. Problem Statement</w:t>
      </w:r>
    </w:p>
    <w:p>
      <w:pPr>
        <w:pStyle w:val="FirstParagraph"/>
      </w:pPr>
      <w:r>
        <w:t xml:space="preserve">Despite Yangon's significance as Myanmar's economic and cultural hub, there is scant academic literature examining the daily realities of politicians operating in this environment. Key challenges include: (a) the coexistence of elected officials alongside military-appointed administrators, (b) intense pressure from urban constituencies demanding infrastructure development amid severe resource constraints, and (c) the pervasive impact of digital activism on political accountability. The current absence of nuanced studies on how a</w:t>
      </w:r>
      <w:r>
        <w:t xml:space="preserve"> </w:t>
      </w:r>
      <w:r>
        <w:rPr>
          <w:bCs/>
          <w:b/>
        </w:rPr>
        <w:t xml:space="preserve">Politician</w:t>
      </w:r>
      <w:r>
        <w:t xml:space="preserve"> </w:t>
      </w:r>
      <w:r>
        <w:t xml:space="preserve">in</w:t>
      </w:r>
      <w:r>
        <w:t xml:space="preserve"> </w:t>
      </w:r>
      <w:r>
        <w:rPr>
          <w:bCs/>
          <w:b/>
        </w:rPr>
        <w:t xml:space="preserve">Myanmar Yangon</w:t>
      </w:r>
      <w:r>
        <w:t xml:space="preserve"> </w:t>
      </w:r>
      <w:r>
        <w:t xml:space="preserve">balances these competing demands risks perpetuating policy blind spots that deepen urban inequality and democratic erosion.</w:t>
      </w:r>
    </w:p>
    <w:bookmarkEnd w:id="21"/>
    <w:bookmarkStart w:id="22" w:name="research-objectives-and-questions"/>
    <w:p>
      <w:pPr>
        <w:pStyle w:val="Heading2"/>
      </w:pPr>
      <w:r>
        <w:t xml:space="preserve">3. Research Objectives and Questions</w:t>
      </w:r>
    </w:p>
    <w:p>
      <w:pPr>
        <w:pStyle w:val="FirstParagraph"/>
      </w:pPr>
      <w:r>
        <w:t xml:space="preserve">This study aims to:</w:t>
      </w:r>
    </w:p>
    <w:p>
      <w:pPr>
        <w:numPr>
          <w:ilvl w:val="0"/>
          <w:numId w:val="1001"/>
        </w:numPr>
        <w:pStyle w:val="Compact"/>
      </w:pPr>
      <w:r>
        <w:t xml:space="preserve">Analyze the operational challenges faced by elected politicians in Yangon's unique governance structure.</w:t>
      </w:r>
    </w:p>
    <w:p>
      <w:pPr>
        <w:numPr>
          <w:ilvl w:val="0"/>
          <w:numId w:val="1001"/>
        </w:numPr>
        <w:pStyle w:val="Compact"/>
      </w:pPr>
      <w:r>
        <w:t xml:space="preserve">Evaluate how politicians negotiate between civilian demands and military-aligned oversight bodies.</w:t>
      </w:r>
    </w:p>
    <w:p>
      <w:pPr>
        <w:numPr>
          <w:ilvl w:val="0"/>
          <w:numId w:val="1001"/>
        </w:numPr>
        <w:pStyle w:val="Compact"/>
      </w:pPr>
      <w:r>
        <w:t xml:space="preserve">Assess the impact of digital platforms on political communication strategies in Yangon.</w:t>
      </w:r>
    </w:p>
    <w:p>
      <w:pPr>
        <w:pStyle w:val="FirstParagraph"/>
      </w:pPr>
      <w:r>
        <w:t xml:space="preserve">Core research questions include: How does a politician in Myanmar Yangon strategically navigate military-civilian power dynamics? What specific urban issues (e.g., traffic congestion, waste management, housing) dominate their public agenda? And how do digital tools reshape accountability between politicians and constituents in Yangon's densely populated neighborhoods?</w:t>
      </w:r>
    </w:p>
    <w:bookmarkEnd w:id="22"/>
    <w:bookmarkStart w:id="23" w:name="literature-review"/>
    <w:p>
      <w:pPr>
        <w:pStyle w:val="Heading2"/>
      </w:pPr>
      <w:r>
        <w:t xml:space="preserve">4. Literature Review</w:t>
      </w:r>
    </w:p>
    <w:p>
      <w:pPr>
        <w:pStyle w:val="FirstParagraph"/>
      </w:pPr>
      <w:r>
        <w:t xml:space="preserve">Existing scholarship on Myanmar politics largely focuses on national-level actors or ethnic minority regions (Hlaing, 2019; O'Connell, 2021). Studies of urban governance often neglect Yangon's unique status as both a center of democratic resistance and military control. Recent works by Thant Myint-U (2023) discuss Yangon's infrastructure challenges but omit political agency. This research bridges that gap by centering the</w:t>
      </w:r>
      <w:r>
        <w:t xml:space="preserve"> </w:t>
      </w:r>
      <w:r>
        <w:rPr>
          <w:bCs/>
          <w:b/>
        </w:rPr>
        <w:t xml:space="preserve">Politician</w:t>
      </w:r>
      <w:r>
        <w:t xml:space="preserve"> </w:t>
      </w:r>
      <w:r>
        <w:t xml:space="preserve">as an active agent—rather than passive recipient of policies—in Myanmar's urban political ecology. Crucially, it departs from previous studies by examining how local-level actors negotiate power within the specific constraints of Yangon, which features a population exceeding 7 million and over 100 townships under dual governance structures.</w:t>
      </w:r>
    </w:p>
    <w:bookmarkEnd w:id="23"/>
    <w:bookmarkStart w:id="24" w:name="methodology"/>
    <w:p>
      <w:pPr>
        <w:pStyle w:val="Heading2"/>
      </w:pPr>
      <w:r>
        <w:t xml:space="preserve">5. Methodology</w:t>
      </w:r>
    </w:p>
    <w:p>
      <w:pPr>
        <w:pStyle w:val="FirstParagraph"/>
      </w:pPr>
      <w:r>
        <w:t xml:space="preserve">This mixed-methods study employs three complementary approaches:</w:t>
      </w:r>
    </w:p>
    <w:p>
      <w:pPr>
        <w:numPr>
          <w:ilvl w:val="0"/>
          <w:numId w:val="1002"/>
        </w:numPr>
        <w:pStyle w:val="Compact"/>
      </w:pPr>
      <w:r>
        <w:rPr>
          <w:bCs/>
          <w:b/>
        </w:rPr>
        <w:t xml:space="preserve">Qualitative Component:</w:t>
      </w:r>
      <w:r>
        <w:t xml:space="preserve"> </w:t>
      </w:r>
      <w:r>
        <w:t xml:space="preserve">In-depth interviews with 30 politicians across Yangon's 18 townships (15 elected officials, 15 military-appointed administrators), plus focus groups with community leaders and civil society representatives.</w:t>
      </w:r>
    </w:p>
    <w:p>
      <w:pPr>
        <w:numPr>
          <w:ilvl w:val="0"/>
          <w:numId w:val="1002"/>
        </w:numPr>
        <w:pStyle w:val="Compact"/>
      </w:pPr>
      <w:r>
        <w:rPr>
          <w:bCs/>
          <w:b/>
        </w:rPr>
        <w:t xml:space="preserve">Quantitative Component:</w:t>
      </w:r>
      <w:r>
        <w:t xml:space="preserve"> </w:t>
      </w:r>
      <w:r>
        <w:t xml:space="preserve">Survey of 400 randomly selected residents across five diverse Yangon districts to measure perceptions of political accountability and service delivery.</w:t>
      </w:r>
    </w:p>
    <w:p>
      <w:pPr>
        <w:numPr>
          <w:ilvl w:val="0"/>
          <w:numId w:val="1002"/>
        </w:numPr>
        <w:pStyle w:val="Compact"/>
      </w:pPr>
      <w:r>
        <w:rPr>
          <w:bCs/>
          <w:b/>
        </w:rPr>
        <w:t xml:space="preserve">Document Analysis:</w:t>
      </w:r>
      <w:r>
        <w:t xml:space="preserve"> </w:t>
      </w:r>
      <w:r>
        <w:t xml:space="preserve">Review of municipal council minutes, social media activity (Facebook/Twitter), and policy briefs from Myanmar Yangon's urban development authority.</w:t>
      </w:r>
    </w:p>
    <w:p>
      <w:pPr>
        <w:pStyle w:val="FirstParagraph"/>
      </w:pPr>
      <w:r>
        <w:t xml:space="preserve">Data collection will occur over 10 months (2024-2025) during the ongoing political crisis. To ensure ethical rigor, all participants will receive anonymity assurances—particularly crucial given security concerns for politicians in Myanmar. The study design acknowledges Yangon's volatile context through flexible fieldwork protocols adapted to local safety conditions.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three major contributions:</w:t>
      </w:r>
    </w:p>
    <w:p>
      <w:pPr>
        <w:numPr>
          <w:ilvl w:val="0"/>
          <w:numId w:val="1003"/>
        </w:numPr>
        <w:pStyle w:val="Compact"/>
      </w:pPr>
      <w:r>
        <w:rPr>
          <w:bCs/>
          <w:b/>
        </w:rPr>
        <w:t xml:space="preserve">Theoretical:</w:t>
      </w:r>
      <w:r>
        <w:t xml:space="preserve"> </w:t>
      </w:r>
      <w:r>
        <w:t xml:space="preserve">A new framework for understanding "hybrid political agency" in post-conflict urban settings, challenging assumptions that politicians in Myanmar are merely instruments of larger forces.</w:t>
      </w:r>
    </w:p>
    <w:p>
      <w:pPr>
        <w:numPr>
          <w:ilvl w:val="0"/>
          <w:numId w:val="1003"/>
        </w:numPr>
        <w:pStyle w:val="Compact"/>
      </w:pPr>
      <w:r>
        <w:rPr>
          <w:bCs/>
          <w:b/>
        </w:rPr>
        <w:t xml:space="preserve">Practical:</w:t>
      </w:r>
      <w:r>
        <w:t xml:space="preserve"> </w:t>
      </w:r>
      <w:r>
        <w:t xml:space="preserve">Policy briefs tailored for Yangon's municipal authorities and international aid agencies on improving service delivery through responsive political engagement.</w:t>
      </w:r>
    </w:p>
    <w:p>
      <w:pPr>
        <w:numPr>
          <w:ilvl w:val="0"/>
          <w:numId w:val="1003"/>
        </w:numPr>
        <w:pStyle w:val="Compact"/>
      </w:pPr>
      <w:r>
        <w:rPr>
          <w:bCs/>
          <w:b/>
        </w:rPr>
        <w:t xml:space="preserve">Social Impact:</w:t>
      </w:r>
      <w:r>
        <w:t xml:space="preserve"> </w:t>
      </w:r>
      <w:r>
        <w:t xml:space="preserve">A community-facing digital platform (developed in partnership with Yangon-based NGOs) to map citizen concerns and politician response rates, fostering transparency.</w:t>
      </w:r>
    </w:p>
    <w:p>
      <w:pPr>
        <w:pStyle w:val="FirstParagraph"/>
      </w:pPr>
      <w:r>
        <w:t xml:space="preserve">The findings will directly inform Myanmar's local governance reforms. For instance, if the research reveals that politicians prioritize infrastructure projects over human rights advocacy due to military pressure—commonly observed in Yangon's township councils—the study will propose actionable safeguards for civic participation. This matters because Yangon is home to 30% of Myanmar’s population; ineffective political engagement here has nationwide consequences.</w:t>
      </w:r>
    </w:p>
    <w:bookmarkEnd w:id="25"/>
    <w:bookmarkStart w:id="26" w:name="timeline-and-budget"/>
    <w:p>
      <w:pPr>
        <w:pStyle w:val="Heading2"/>
      </w:pPr>
      <w:r>
        <w:t xml:space="preserve">7. Timeline and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Fieldwork Preparation &amp; Ethics Approval</w:t>
            </w:r>
          </w:p>
        </w:tc>
        <w:tc>
          <w:tcPr/>
          <w:p>
            <w:pPr>
              <w:pStyle w:val="Compact"/>
              <w:jc w:val="left"/>
            </w:pPr>
            <w:r>
              <w:t xml:space="preserve">Months 1-2 (2024)</w:t>
            </w:r>
          </w:p>
        </w:tc>
        <w:tc>
          <w:tcPr/>
          <w:p>
            <w:pPr>
              <w:pStyle w:val="Compact"/>
              <w:jc w:val="left"/>
            </w:pPr>
            <w:r>
              <w:t xml:space="preserve">Ethics clearance, local partner agreements, instrument finalization</w:t>
            </w:r>
          </w:p>
        </w:tc>
      </w:tr>
      <w:tr>
        <w:tc>
          <w:tcPr/>
          <w:p>
            <w:pPr>
              <w:pStyle w:val="Compact"/>
              <w:jc w:val="left"/>
            </w:pPr>
            <w:r>
              <w:t xml:space="preserve">Data Collection: Interviews &amp; Surveys</w:t>
            </w:r>
          </w:p>
        </w:tc>
        <w:tc>
          <w:tcPr/>
          <w:p>
            <w:pPr>
              <w:pStyle w:val="Compact"/>
              <w:jc w:val="left"/>
            </w:pPr>
            <w:r>
              <w:t xml:space="preserve">Months 3-6 (2024)</w:t>
            </w:r>
          </w:p>
        </w:tc>
        <w:tc>
          <w:tcPr/>
          <w:p>
            <w:pPr>
              <w:pStyle w:val="Compact"/>
              <w:jc w:val="left"/>
            </w:pPr>
            <w:r>
              <w:t xml:space="preserve">Transcribed interviews, survey dataset from 400 respondents</w:t>
            </w:r>
          </w:p>
        </w:tc>
      </w:tr>
      <w:tr>
        <w:tc>
          <w:tcPr/>
          <w:p>
            <w:pPr>
              <w:pStyle w:val="Compact"/>
              <w:jc w:val="left"/>
            </w:pPr>
            <w:r>
              <w:t xml:space="preserve">Data Analysis &amp; Draft Report</w:t>
            </w:r>
          </w:p>
        </w:tc>
        <w:tc>
          <w:tcPr/>
          <w:p>
            <w:pPr>
              <w:pStyle w:val="Compact"/>
              <w:jc w:val="left"/>
            </w:pPr>
            <w:r>
              <w:t xml:space="preserve">Months 7-8 (2024)</w:t>
            </w:r>
          </w:p>
        </w:tc>
        <w:tc>
          <w:tcPr/>
          <w:p>
            <w:pPr>
              <w:pStyle w:val="Compact"/>
              <w:jc w:val="left"/>
            </w:pPr>
            <w:r>
              <w:t xml:space="preserve">Narrative analysis, thematic coding of political strategies</w:t>
            </w:r>
          </w:p>
        </w:tc>
      </w:tr>
      <w:tr>
        <w:tc>
          <w:tcPr/>
          <w:p>
            <w:pPr>
              <w:pStyle w:val="Compact"/>
              <w:jc w:val="left"/>
            </w:pPr>
            <w:r>
              <w:t xml:space="preserve">Community Dissemination &amp; Policy Workshop</w:t>
            </w:r>
          </w:p>
        </w:tc>
        <w:tc>
          <w:tcPr/>
          <w:p>
            <w:pPr>
              <w:pStyle w:val="Compact"/>
              <w:jc w:val="left"/>
            </w:pPr>
            <w:r>
              <w:t xml:space="preserve">Month 9 (2024)</w:t>
            </w:r>
          </w:p>
        </w:tc>
        <w:tc>
          <w:tcPr/>
          <w:p>
            <w:pPr>
              <w:pStyle w:val="Compact"/>
              <w:jc w:val="left"/>
            </w:pPr>
            <w:r>
              <w:t xml:space="preserve">Presentation to Yangon city council, NGO partners, and civil society</w:t>
            </w:r>
          </w:p>
        </w:tc>
      </w:tr>
    </w:tbl>
    <w:bookmarkEnd w:id="26"/>
    <w:bookmarkStart w:id="27" w:name="conclusion"/>
    <w:p>
      <w:pPr>
        <w:pStyle w:val="Heading2"/>
      </w:pPr>
      <w:r>
        <w:t xml:space="preserve">8. Conclusion</w:t>
      </w:r>
    </w:p>
    <w:p>
      <w:pPr>
        <w:pStyle w:val="FirstParagraph"/>
      </w:pPr>
      <w:r>
        <w:t xml:space="preserve">The political trajectory of Myanmar Yangon is pivotal to the nation's democratic future. This research directly addresses the urgent need to understand how a</w:t>
      </w:r>
      <w:r>
        <w:t xml:space="preserve"> </w:t>
      </w:r>
      <w:r>
        <w:rPr>
          <w:bCs/>
          <w:b/>
        </w:rPr>
        <w:t xml:space="preserve">Politician</w:t>
      </w:r>
      <w:r>
        <w:t xml:space="preserve"> </w:t>
      </w:r>
      <w:r>
        <w:t xml:space="preserve">operates within Myanmar's fractured urban governance landscape—a context where daily decisions shape lives from street-level sanitation to national policy alignment. By centering Yangon as both geographical site and political laboratory, this</w:t>
      </w:r>
      <w:r>
        <w:t xml:space="preserve"> </w:t>
      </w:r>
      <w:r>
        <w:rPr>
          <w:bCs/>
          <w:b/>
        </w:rPr>
        <w:t xml:space="preserve">Research Proposal</w:t>
      </w:r>
      <w:r>
        <w:t xml:space="preserve"> </w:t>
      </w:r>
      <w:r>
        <w:t xml:space="preserve">moves beyond abstract analyses to document the lived realities of those navigating power in one of Asia’s most dynamic—and endangered—cities. The study's success will empower civil society, inform international engagement strategies, and ultimately contribute to a more resilient political ecosystem for Myanmar Yangon's citizens. As we seek pathways toward sustainable governance, understanding the politician as an active agent—not a passive figure—must be our starting point.</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Political Dynamics of a Politician in Myanmar Yangon</dc:title>
  <dc:creator/>
  <dc:language>en</dc:language>
  <cp:keywords/>
  <dcterms:created xsi:type="dcterms:W3CDTF">2026-07-21T06:55:49Z</dcterms:created>
  <dcterms:modified xsi:type="dcterms:W3CDTF">2026-07-21T06:55:49Z</dcterms:modified>
</cp:coreProperties>
</file>

<file path=docProps/custom.xml><?xml version="1.0" encoding="utf-8"?>
<Properties xmlns="http://schemas.openxmlformats.org/officeDocument/2006/custom-properties" xmlns:vt="http://schemas.openxmlformats.org/officeDocument/2006/docPropsVTypes"/>
</file>