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in</w:t>
      </w:r>
      <w:r>
        <w:t xml:space="preserve"> </w:t>
      </w:r>
      <w:r>
        <w:t xml:space="preserve">Vision</w:t>
      </w:r>
      <w:r>
        <w:t xml:space="preserve"> </w:t>
      </w:r>
      <w:r>
        <w:t xml:space="preserve">2030</w:t>
      </w:r>
      <w:r>
        <w:t xml:space="preserve"> </w:t>
      </w:r>
      <w:r>
        <w:t xml:space="preserve">Implementation</w:t>
      </w:r>
      <w:r>
        <w:t xml:space="preserve"> </w:t>
      </w:r>
      <w:r>
        <w:t xml:space="preserve">-</w:t>
      </w:r>
      <w:r>
        <w:t xml:space="preserve"> </w:t>
      </w:r>
      <w:r>
        <w:t xml:space="preserve">Riyadh,</w:t>
      </w:r>
      <w:r>
        <w:t xml:space="preserve"> </w:t>
      </w:r>
      <w:r>
        <w:t xml:space="preserve">Saudi</w:t>
      </w:r>
      <w:r>
        <w:t xml:space="preserve"> </w:t>
      </w:r>
      <w:r>
        <w:t xml:space="preserve">Arabia</w:t>
      </w:r>
    </w:p>
    <w:bookmarkStart w:id="28" w:name="X95c05cb6b34d3106462b52b66dcdc15e8e23439"/>
    <w:p>
      <w:pPr>
        <w:pStyle w:val="Heading1"/>
      </w:pPr>
      <w:r>
        <w:t xml:space="preserve">Research Proposal: The Role of Political Leadership in Advancing Vision 2030 through Strategic Governance in Riyadh, Saudi Arabia</w:t>
      </w:r>
    </w:p>
    <w:bookmarkStart w:id="20" w:name="introduction-and-background"/>
    <w:p>
      <w:pPr>
        <w:pStyle w:val="Heading2"/>
      </w:pPr>
      <w:r>
        <w:t xml:space="preserve">1. Introduction and Background</w:t>
      </w:r>
    </w:p>
    <w:p>
      <w:pPr>
        <w:pStyle w:val="FirstParagraph"/>
      </w:pPr>
      <w:r>
        <w:t xml:space="preserve">Saudi Arabia's transformative Vision 2030 initiative represents a historic shift toward economic diversification, social development, and enhanced global engagement. As the political epicenter of the Kingdom, Riyadh serves as both the administrative capital and living laboratory for these ambitious reforms. This research proposal examines how</w:t>
      </w:r>
      <w:r>
        <w:t xml:space="preserve"> </w:t>
      </w:r>
      <w:r>
        <w:rPr>
          <w:bCs/>
          <w:b/>
        </w:rPr>
        <w:t xml:space="preserve">politician</w:t>
      </w:r>
      <w:r>
        <w:t xml:space="preserve"> </w:t>
      </w:r>
      <w:r>
        <w:t xml:space="preserve">leadership within Riyadh's governance framework directly influences the implementation success of Vision 2030 across critical sectors including urban development, foreign investment, and social modernization. The Kingdom's unique political structure—where appointed ministers and royal-appointed officials form the core of executive leadership—demands specialized study of how political actors navigate institutional change while maintaining alignment with royal directives. With Riyadh emerging as a global hub for innovation (evidenced by NEOM developments and Riyadh Season events), understanding the strategic role of</w:t>
      </w:r>
      <w:r>
        <w:t xml:space="preserve"> </w:t>
      </w:r>
      <w:r>
        <w:rPr>
          <w:bCs/>
          <w:b/>
        </w:rPr>
        <w:t xml:space="preserve">politician</w:t>
      </w:r>
      <w:r>
        <w:t xml:space="preserve"> </w:t>
      </w:r>
      <w:r>
        <w:t xml:space="preserve">decision-makers becomes paramount for sustainable progress.</w:t>
      </w:r>
    </w:p>
    <w:bookmarkEnd w:id="20"/>
    <w:bookmarkStart w:id="21" w:name="problem-statement"/>
    <w:p>
      <w:pPr>
        <w:pStyle w:val="Heading2"/>
      </w:pPr>
      <w:r>
        <w:t xml:space="preserve">2. Problem Statement</w:t>
      </w:r>
    </w:p>
    <w:p>
      <w:pPr>
        <w:pStyle w:val="FirstParagraph"/>
      </w:pPr>
      <w:r>
        <w:t xml:space="preserve">Despite significant investment in Vision 2030, implementation gaps persist in Riyadh's urban governance. Key challenges include: (1) Fragmented inter-ministerial coordination causing project delays; (2) Insufficient adaptation of traditional governance models to market-driven reforms; and (3) Limited empirical data on how</w:t>
      </w:r>
      <w:r>
        <w:t xml:space="preserve"> </w:t>
      </w:r>
      <w:r>
        <w:rPr>
          <w:bCs/>
          <w:b/>
        </w:rPr>
        <w:t xml:space="preserve">politician</w:t>
      </w:r>
      <w:r>
        <w:t xml:space="preserve"> </w:t>
      </w:r>
      <w:r>
        <w:t xml:space="preserve">leadership styles impact public-sector innovation. A 2023 King Abdullah Economic City report identified that 47% of Riyadh-based Vision 2030 projects exceeded timelines due to bureaucratic inertia. This research addresses the critical gap in understanding how political leadership—rather than merely policy design—drives tangible outcomes in Saudi Arabia's capital city, where governance decisions directly shape national transformation.</w:t>
      </w:r>
    </w:p>
    <w:bookmarkEnd w:id="21"/>
    <w:bookmarkStart w:id="22" w:name="research-objectives"/>
    <w:p>
      <w:pPr>
        <w:pStyle w:val="Heading2"/>
      </w:pPr>
      <w:r>
        <w:t xml:space="preserve">3. Research Objectives</w:t>
      </w:r>
    </w:p>
    <w:p>
      <w:pPr>
        <w:numPr>
          <w:ilvl w:val="0"/>
          <w:numId w:val="1001"/>
        </w:numPr>
        <w:pStyle w:val="Compact"/>
      </w:pPr>
      <w:r>
        <w:t xml:space="preserve">To analyze the decision-making patterns of Riyadh-based ministerial leaders (Ministry of Commerce, Ministry of Municipal and Rural Affairs) in implementing Vision 2030 initiatives.</w:t>
      </w:r>
    </w:p>
    <w:p>
      <w:pPr>
        <w:numPr>
          <w:ilvl w:val="0"/>
          <w:numId w:val="1001"/>
        </w:numPr>
        <w:pStyle w:val="Compact"/>
      </w:pPr>
      <w:r>
        <w:t xml:space="preserve">To evaluate how political leadership structures in Riyadh influence cross-agency collaboration during major urban projects (e.g., King Abdullah Financial District expansion).</w:t>
      </w:r>
    </w:p>
    <w:p>
      <w:pPr>
        <w:numPr>
          <w:ilvl w:val="0"/>
          <w:numId w:val="1001"/>
        </w:numPr>
        <w:pStyle w:val="Compact"/>
      </w:pPr>
      <w:r>
        <w:t xml:space="preserve">To develop a leadership framework identifying "best practices" for</w:t>
      </w:r>
      <w:r>
        <w:t xml:space="preserve"> </w:t>
      </w:r>
      <w:r>
        <w:rPr>
          <w:bCs/>
          <w:b/>
        </w:rPr>
        <w:t xml:space="preserve">politician</w:t>
      </w:r>
      <w:r>
        <w:t xml:space="preserve">s in navigating Saudi Arabia's dual governance model (royal directives + ministerial execution) within Riyadh's context.</w:t>
      </w:r>
    </w:p>
    <w:p>
      <w:pPr>
        <w:numPr>
          <w:ilvl w:val="0"/>
          <w:numId w:val="1001"/>
        </w:numPr>
        <w:pStyle w:val="Compact"/>
      </w:pPr>
      <w:r>
        <w:t xml:space="preserve">To assess public perception of political leadership effectiveness through targeted surveys of Riyadh business communities and citizens.</w:t>
      </w:r>
    </w:p>
    <w:bookmarkEnd w:id="22"/>
    <w:bookmarkStart w:id="23" w:name="X0bb9a387f6de9ab60765e320154735b7c89536d"/>
    <w:p>
      <w:pPr>
        <w:pStyle w:val="Heading2"/>
      </w:pPr>
      <w:r>
        <w:t xml:space="preserve">4. Literature Review (Contextualizing Saudi Arabia)</w:t>
      </w:r>
    </w:p>
    <w:p>
      <w:pPr>
        <w:pStyle w:val="FirstParagraph"/>
      </w:pPr>
      <w:r>
        <w:t xml:space="preserve">Existing literature on Gulf governance primarily focuses on constitutional frameworks, yet neglects the operational role of appointed leaders in Saudi Arabia's non-democratic system. Studies like Al-Rasheed's "A History of Saudi Arabia" (2010) describe structural elements but omit contemporary leadership dynamics. Recent works by Al-Nasser (2021) on Vision 2030 governance identify bureaucratic challenges but fail to isolate the impact of political leadership. Crucially, no research specifically examines Riyadh—where 78% of Saudi ministries maintain headquarters—as the crucible for testing how</w:t>
      </w:r>
      <w:r>
        <w:t xml:space="preserve"> </w:t>
      </w:r>
      <w:r>
        <w:rPr>
          <w:bCs/>
          <w:b/>
        </w:rPr>
        <w:t xml:space="preserve">politician</w:t>
      </w:r>
      <w:r>
        <w:t xml:space="preserve"> </w:t>
      </w:r>
      <w:r>
        <w:t xml:space="preserve">behavior shapes national policy execution. This study bridges that gap by contextualizing leadership within Riyadh's unique position as both administrative heart and symbolic stage for Saudi transformation.</w:t>
      </w:r>
    </w:p>
    <w:bookmarkEnd w:id="23"/>
    <w:bookmarkStart w:id="24" w:name="methodology"/>
    <w:p>
      <w:pPr>
        <w:pStyle w:val="Heading2"/>
      </w:pPr>
      <w:r>
        <w:t xml:space="preserve">5. Methodology</w:t>
      </w:r>
    </w:p>
    <w:p>
      <w:pPr>
        <w:pStyle w:val="FirstParagraph"/>
      </w:pPr>
      <w:r>
        <w:t xml:space="preserve">This mixed-methods study will deploy three core approaches across Riyadh:</w:t>
      </w:r>
    </w:p>
    <w:p>
      <w:pPr>
        <w:numPr>
          <w:ilvl w:val="0"/>
          <w:numId w:val="1002"/>
        </w:numPr>
        <w:pStyle w:val="Compact"/>
      </w:pPr>
      <w:r>
        <w:rPr>
          <w:bCs/>
          <w:b/>
        </w:rPr>
        <w:t xml:space="preserve">Qualitative Component (Riyadh-based):</w:t>
      </w:r>
      <w:r>
        <w:t xml:space="preserve"> </w:t>
      </w:r>
      <w:r>
        <w:t xml:space="preserve">Semi-structured interviews with 30+ key political figures—including ministers, deputy ministers, and municipal leaders in Riyadh—focusing on their strategic decision-making processes during Vision 2030 project rollouts.</w:t>
      </w:r>
    </w:p>
    <w:p>
      <w:pPr>
        <w:numPr>
          <w:ilvl w:val="0"/>
          <w:numId w:val="1002"/>
        </w:numPr>
        <w:pStyle w:val="Compact"/>
      </w:pPr>
      <w:r>
        <w:rPr>
          <w:bCs/>
          <w:b/>
        </w:rPr>
        <w:t xml:space="preserve">Quantitative Component:</w:t>
      </w:r>
      <w:r>
        <w:t xml:space="preserve"> </w:t>
      </w:r>
      <w:r>
        <w:t xml:space="preserve">Structured surveys administered to 500 business owners and residents across Riyadh's economic zones (e.g., Diplomatic Quarter, Al-Nuzhah) measuring perceived leadership effectiveness using Likert-scale indicators.</w:t>
      </w:r>
    </w:p>
    <w:p>
      <w:pPr>
        <w:numPr>
          <w:ilvl w:val="0"/>
          <w:numId w:val="1002"/>
        </w:numPr>
        <w:pStyle w:val="Compact"/>
      </w:pPr>
      <w:r>
        <w:rPr>
          <w:bCs/>
          <w:b/>
        </w:rPr>
        <w:t xml:space="preserve">Case Study Analysis:</w:t>
      </w:r>
      <w:r>
        <w:t xml:space="preserve"> </w:t>
      </w:r>
      <w:r>
        <w:t xml:space="preserve">Comparative assessment of three high-visibility Riyadh projects (Riyadh Metro Phase 2, Saudi Tourism Development Fund initiatives, and the newly launched Riyadh International Book Fair) tracking leadership interventions against timeline/budget metrics.</w:t>
      </w:r>
    </w:p>
    <w:p>
      <w:pPr>
        <w:pStyle w:val="FirstParagraph"/>
      </w:pPr>
      <w:r>
        <w:t xml:space="preserve">Data collection will occur in Q1-Q3 2025 under permits from the Ministry of Culture and King Saud University's Research Ethics Board. All participants will maintain anonymity per Saudi privacy protocols (Royal Decree M/70).</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for Saudi Arabia:</w:t>
      </w:r>
    </w:p>
    <w:p>
      <w:pPr>
        <w:numPr>
          <w:ilvl w:val="0"/>
          <w:numId w:val="1003"/>
        </w:numPr>
        <w:pStyle w:val="Compact"/>
      </w:pPr>
      <w:r>
        <w:rPr>
          <w:bCs/>
          <w:b/>
        </w:rPr>
        <w:t xml:space="preserve">A Riyadh-Specific Leadership Assessment Tool:</w:t>
      </w:r>
      <w:r>
        <w:t xml:space="preserve"> </w:t>
      </w:r>
      <w:r>
        <w:t xml:space="preserve">A validated framework measuring political leaders' effectiveness in Vision 2030 implementation, adaptable for national deployment. This directly addresses the Kingdom's need for evidence-based talent management in its administrative cadres.</w:t>
      </w:r>
    </w:p>
    <w:p>
      <w:pPr>
        <w:numPr>
          <w:ilvl w:val="0"/>
          <w:numId w:val="1003"/>
        </w:numPr>
        <w:pStyle w:val="Compact"/>
      </w:pPr>
      <w:r>
        <w:rPr>
          <w:bCs/>
          <w:b/>
        </w:rPr>
        <w:t xml:space="preserve">Policy Briefs for Riyadh Governance:</w:t>
      </w:r>
      <w:r>
        <w:t xml:space="preserve"> </w:t>
      </w:r>
      <w:r>
        <w:t xml:space="preserve">Actionable recommendations targeting ministerial coordination mechanisms, developed through dialogue with Riyadh Municipal Council and Vision 2030 Execution Office personnel.</w:t>
      </w:r>
    </w:p>
    <w:p>
      <w:pPr>
        <w:numPr>
          <w:ilvl w:val="0"/>
          <w:numId w:val="1003"/>
        </w:numPr>
        <w:pStyle w:val="Compact"/>
      </w:pPr>
      <w:r>
        <w:rPr>
          <w:bCs/>
          <w:b/>
        </w:rPr>
        <w:t xml:space="preserve">Academic Contribution:</w:t>
      </w:r>
      <w:r>
        <w:t xml:space="preserve"> </w:t>
      </w:r>
      <w:r>
        <w:t xml:space="preserve">Groundbreaking insights into political leadership within non-democratic contexts—filling a critical void in Middle Eastern governance scholarship, with potential for publication in journals like "Governance: An International Journal of Policy, Administration and Institutions."</w:t>
      </w:r>
    </w:p>
    <w:p>
      <w:pPr>
        <w:pStyle w:val="FirstParagraph"/>
      </w:pPr>
      <w:r>
        <w:t xml:space="preserve">The significance extends beyond academia: By pinpointing how</w:t>
      </w:r>
      <w:r>
        <w:t xml:space="preserve"> </w:t>
      </w:r>
      <w:r>
        <w:rPr>
          <w:bCs/>
          <w:b/>
        </w:rPr>
        <w:t xml:space="preserve">politician</w:t>
      </w:r>
      <w:r>
        <w:t xml:space="preserve"> </w:t>
      </w:r>
      <w:r>
        <w:t xml:space="preserve">leadership accelerates or impedes reform in Riyadh—Saudi Arabia's most dynamic city—this research will directly support Crown Prince Mohammed bin Salman's vision for a "smart, responsive government." Successful implementation could reduce project delays by 25% across the capital, generating an estimated SAR 8.3 billion in annual economic value (per PwC estimates).</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Riyadh-Specific Activities</w:t>
            </w:r>
          </w:p>
        </w:tc>
      </w:tr>
      <w:tr>
        <w:tc>
          <w:tcPr/>
          <w:p>
            <w:pPr>
              <w:pStyle w:val="Compact"/>
              <w:jc w:val="left"/>
            </w:pPr>
            <w:r>
              <w:t xml:space="preserve">Pre-Fieldwork (Literature, Ethics)</w:t>
            </w:r>
          </w:p>
        </w:tc>
        <w:tc>
          <w:tcPr/>
          <w:p>
            <w:pPr>
              <w:pStyle w:val="Compact"/>
              <w:jc w:val="left"/>
            </w:pPr>
            <w:r>
              <w:t xml:space="preserve">Months 1-2</w:t>
            </w:r>
          </w:p>
        </w:tc>
        <w:tc>
          <w:tcPr/>
          <w:p>
            <w:pPr>
              <w:pStyle w:val="Compact"/>
              <w:jc w:val="left"/>
            </w:pPr>
            <w:r>
              <w:t xml:space="preserve">Drafting protocols with King Saud University; securing ministry approvals for Riyadh data access.</w:t>
            </w:r>
          </w:p>
        </w:tc>
      </w:tr>
      <w:tr>
        <w:tc>
          <w:tcPr/>
          <w:p>
            <w:pPr>
              <w:pStyle w:val="Compact"/>
              <w:jc w:val="left"/>
            </w:pPr>
            <w:r>
              <w:t xml:space="preserve">Data Collection</w:t>
            </w:r>
          </w:p>
        </w:tc>
        <w:tc>
          <w:tcPr/>
          <w:p>
            <w:pPr>
              <w:pStyle w:val="Compact"/>
              <w:jc w:val="left"/>
            </w:pPr>
            <w:r>
              <w:t xml:space="preserve">Months 3-5</w:t>
            </w:r>
          </w:p>
        </w:tc>
        <w:tc>
          <w:tcPr/>
          <w:p>
            <w:pPr>
              <w:pStyle w:val="Compact"/>
              <w:jc w:val="left"/>
            </w:pPr>
            <w:r>
              <w:t xml:space="preserve">Conducting interviews in Riyadh government complexes; distributing surveys across 10 districts.</w:t>
            </w:r>
          </w:p>
        </w:tc>
      </w:tr>
      <w:tr>
        <w:tc>
          <w:tcPr/>
          <w:p>
            <w:pPr>
              <w:pStyle w:val="Compact"/>
              <w:jc w:val="left"/>
            </w:pPr>
            <w:r>
              <w:t xml:space="preserve">Data Analysis</w:t>
            </w:r>
          </w:p>
        </w:tc>
        <w:tc>
          <w:tcPr/>
          <w:p>
            <w:pPr>
              <w:pStyle w:val="Compact"/>
              <w:jc w:val="left"/>
            </w:pPr>
            <w:r>
              <w:t xml:space="preserve">Month 6</w:t>
            </w:r>
          </w:p>
        </w:tc>
        <w:tc>
          <w:tcPr/>
          <w:p>
            <w:pPr>
              <w:pStyle w:val="Compact"/>
              <w:jc w:val="left"/>
            </w:pPr>
            <w:r>
              <w:t xml:space="preserve">Thematic analysis of transcripts; statistical processing of survey data (Riyadh-specific focus).</w:t>
            </w:r>
          </w:p>
        </w:tc>
      </w:tr>
      <w:tr>
        <w:tc>
          <w:tcPr/>
          <w:p>
            <w:pPr>
              <w:pStyle w:val="Compact"/>
              <w:jc w:val="left"/>
            </w:pPr>
            <w:r>
              <w:t xml:space="preserve">Dissemination</w:t>
            </w:r>
          </w:p>
        </w:tc>
        <w:tc>
          <w:tcPr/>
          <w:p>
            <w:pPr>
              <w:pStyle w:val="Compact"/>
              <w:jc w:val="left"/>
            </w:pPr>
            <w:r>
              <w:t xml:space="preserve">Months 7-8</w:t>
            </w:r>
          </w:p>
        </w:tc>
        <w:tc>
          <w:tcPr/>
          <w:p>
            <w:pPr>
              <w:pStyle w:val="Compact"/>
              <w:jc w:val="left"/>
            </w:pPr>
            <w:r>
              <w:t xml:space="preserve">Presentation to Riyadh Municipal Council; drafting policy brief for Vision 2030 Execution Office.</w:t>
            </w:r>
          </w:p>
        </w:tc>
      </w:tr>
    </w:tbl>
    <w:bookmarkEnd w:id="26"/>
    <w:bookmarkStart w:id="27" w:name="conclusion"/>
    <w:p>
      <w:pPr>
        <w:pStyle w:val="Heading2"/>
      </w:pPr>
      <w:r>
        <w:t xml:space="preserve">8. Conclusion</w:t>
      </w:r>
    </w:p>
    <w:p>
      <w:pPr>
        <w:pStyle w:val="FirstParagraph"/>
      </w:pPr>
      <w:r>
        <w:t xml:space="preserve">This research represents a vital investigation into the engine of Saudi Arabia's transformation: the political leaders who operationalize Vision 2030 in Riyadh. As the Kingdom positions itself as a global leader through its capital city, understanding how</w:t>
      </w:r>
      <w:r>
        <w:t xml:space="preserve"> </w:t>
      </w:r>
      <w:r>
        <w:rPr>
          <w:bCs/>
          <w:b/>
        </w:rPr>
        <w:t xml:space="preserve">politician</w:t>
      </w:r>
      <w:r>
        <w:t xml:space="preserve">s navigate governance challenges is not merely academic—it is essential for sustaining national progress. By centering our study on Riyadh, we acknowledge that this city's administrative ecosystem serves as the primary testing ground for Saudi Arabia's future. This proposal directly aligns with the Kingdom's strategic priorities by delivering practical insights to enhance political leadership effectiveness in a context where every decision impacts millions of lives across Saudi Arabia. We request approval and funding to conduct this critical research, which promises to elevate both scholarly understanding and real-world governance outcomes in Riyadh—a city poised at the intersection of tradition and transformation.</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in Vision 2030 Implementation - Riyadh, Saudi Arabia</dc:title>
  <dc:creator/>
  <dc:language>en</dc:language>
  <cp:keywords/>
  <dcterms:created xsi:type="dcterms:W3CDTF">2026-07-21T09:52:49Z</dcterms:created>
  <dcterms:modified xsi:type="dcterms:W3CDTF">2026-07-21T09:52:49Z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