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Ankara's</w:t>
      </w:r>
      <w:r>
        <w:t xml:space="preserve"> </w:t>
      </w:r>
      <w:r>
        <w:t xml:space="preserve">Elected</w:t>
      </w:r>
      <w:r>
        <w:t xml:space="preserve"> </w:t>
      </w:r>
      <w:r>
        <w:t xml:space="preserve">Representatives</w:t>
      </w:r>
      <w:r>
        <w:t xml:space="preserve"> </w:t>
      </w:r>
      <w:r>
        <w:t xml:space="preserve">in</w:t>
      </w:r>
      <w:r>
        <w:t xml:space="preserve"> </w:t>
      </w:r>
      <w:r>
        <w:t xml:space="preserve">Contemporary</w:t>
      </w:r>
      <w:r>
        <w:t xml:space="preserve"> </w:t>
      </w:r>
      <w:r>
        <w:t xml:space="preserve">Turkey</w:t>
      </w:r>
    </w:p>
    <w:bookmarkStart w:id="29" w:name="Xde53a7fbd08fb18f88e92dd9b7ef1cf41ccf60c"/>
    <w:p>
      <w:pPr>
        <w:pStyle w:val="Heading1"/>
      </w:pPr>
      <w:r>
        <w:t xml:space="preserve">Research Proposal: Analyzing the Role, Challenges, and Public Perception of Politicians in Ankara, Turkey</w:t>
      </w:r>
    </w:p>
    <w:bookmarkStart w:id="20" w:name="introduction"/>
    <w:p>
      <w:pPr>
        <w:pStyle w:val="Heading2"/>
      </w:pPr>
      <w:r>
        <w:t xml:space="preserve">1. Introduction</w:t>
      </w:r>
    </w:p>
    <w:p>
      <w:pPr>
        <w:pStyle w:val="FirstParagraph"/>
      </w:pPr>
      <w:r>
        <w:t xml:space="preserve">The political landscape of Turkey has undergone significant transformations since the establishment of the Republic in 1923, with Ankara serving as the undisputed epicenter of national governance. As the capital city and seat of the Turkish Grand National Assembly, Ankara is not merely a geographic location but a symbolic and operational nucleus for all political actors operating within Turkey's complex multi-party democracy. This research proposal addresses an urgent gap in understanding how local politicians in Ankara navigate their roles amid national political polarization, administrative demands, and evolving public expectations. While extensive scholarship exists on Turkish politics at the national level, there is a critical lack of empirical studies examining the day-to-day realities of</w:t>
      </w:r>
      <w:r>
        <w:t xml:space="preserve"> </w:t>
      </w:r>
      <w:r>
        <w:rPr>
          <w:iCs/>
          <w:i/>
        </w:rPr>
        <w:t xml:space="preserve">politicians</w:t>
      </w:r>
      <w:r>
        <w:t xml:space="preserve"> </w:t>
      </w:r>
      <w:r>
        <w:t xml:space="preserve">operating specifically within Ankara's municipal and parliamentary institutions. This research seeks to fill that void by conducting an in-depth analysis of political behavior, accountability mechanisms, and citizen engagement strategies unique to Ankara's political ecosystem.</w:t>
      </w:r>
    </w:p>
    <w:bookmarkEnd w:id="20"/>
    <w:bookmarkStart w:id="21" w:name="problem-statement"/>
    <w:p>
      <w:pPr>
        <w:pStyle w:val="Heading2"/>
      </w:pPr>
      <w:r>
        <w:t xml:space="preserve">2. Problem Statement</w:t>
      </w:r>
    </w:p>
    <w:p>
      <w:pPr>
        <w:pStyle w:val="FirstParagraph"/>
      </w:pPr>
      <w:r>
        <w:t xml:space="preserve">Turkey has experienced escalating political fragmentation since 2016, with Ankara as the primary battleground for national policy implementation and local governance. Recent studies (e.g., Tocci, 2019; Akçay &amp; Gökçe, 2021) highlight declining public trust in national institutions but fail to disaggregate this trend by urban context. Crucially, Ankara—home to over 5 million residents and hosting all federal ministries—presents a microcosm of Turkey's political contradictions: it simultaneously embodies the centralizing tendencies of Ankara-centric governance while bearing the brunt of socio-economic policies implemented from the capital. This creates unique pressures for</w:t>
      </w:r>
      <w:r>
        <w:t xml:space="preserve"> </w:t>
      </w:r>
      <w:r>
        <w:rPr>
          <w:iCs/>
          <w:i/>
        </w:rPr>
        <w:t xml:space="preserve">politicians</w:t>
      </w:r>
      <w:r>
        <w:t xml:space="preserve"> </w:t>
      </w:r>
      <w:r>
        <w:t xml:space="preserve">who must balance local constituents' needs against national party directives. The absence of focused research on Ankara's politicians risks perpetuating policy blind spots, particularly regarding urban governance failures (e.g., infrastructure crises, housing shortages) that directly impact 15% of Turkey's population. Without understanding these dynamics, democratic accountability in Turkey’s most influential city remains compromised.</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and political networks connecting Ankara-based politicians with national government structures.</w:t>
      </w:r>
    </w:p>
    <w:p>
      <w:pPr>
        <w:numPr>
          <w:ilvl w:val="0"/>
          <w:numId w:val="1001"/>
        </w:numPr>
        <w:pStyle w:val="Compact"/>
      </w:pPr>
      <w:r>
        <w:t xml:space="preserve">To evaluate public perception of local politicians across Ankara's diverse districts (e.g., Çankaya, Kızılay, Söğütözü) using mixed-methods analysis.</w:t>
      </w:r>
    </w:p>
    <w:p>
      <w:pPr>
        <w:numPr>
          <w:ilvl w:val="0"/>
          <w:numId w:val="1001"/>
        </w:numPr>
        <w:pStyle w:val="Compact"/>
      </w:pPr>
      <w:r>
        <w:t xml:space="preserve">To identify key challenges hindering effective constituent service delivery by politicians in Ankara, including bureaucratic inertia and polarization effects.</w:t>
      </w:r>
    </w:p>
    <w:p>
      <w:pPr>
        <w:numPr>
          <w:ilvl w:val="0"/>
          <w:numId w:val="1001"/>
        </w:numPr>
        <w:pStyle w:val="Compact"/>
      </w:pPr>
      <w:r>
        <w:t xml:space="preserve">To develop a framework for enhancing transparency and accountability of local politicians within Turkey's unique political context.</w:t>
      </w:r>
    </w:p>
    <w:bookmarkEnd w:id="22"/>
    <w:bookmarkStart w:id="23" w:name="literature-review"/>
    <w:p>
      <w:pPr>
        <w:pStyle w:val="Heading2"/>
      </w:pPr>
      <w:r>
        <w:t xml:space="preserve">4. Literature Review</w:t>
      </w:r>
    </w:p>
    <w:p>
      <w:pPr>
        <w:pStyle w:val="FirstParagraph"/>
      </w:pPr>
      <w:r>
        <w:t xml:space="preserve">Existing scholarship on Turkish politics predominantly focuses on presidential governance (Kirişçi, 2018) or rural electoral behavior (Cinar &amp; Dincer, 2019), with minimal attention to urban political intermediation. Studies by Akar (2020) on Ankara's municipal elections offer limited insights into the daily operations of politicians beyond electoral cycles. Crucially, no research examines how Ankara's dual role—as both a symbol of national unity and a contested urban space—shapes politician conduct. This proposal builds on recent work by Gürbüz (2021) on local governance but extends it by centering</w:t>
      </w:r>
      <w:r>
        <w:t xml:space="preserve"> </w:t>
      </w:r>
      <w:r>
        <w:rPr>
          <w:iCs/>
          <w:i/>
        </w:rPr>
        <w:t xml:space="preserve">politician</w:t>
      </w:r>
      <w:r>
        <w:t xml:space="preserve"> </w:t>
      </w:r>
      <w:r>
        <w:t xml:space="preserve">agency within Ankara's specific institutional constraints. The gap this research fills is clear: while Turkey has robust data on national voting patterns, we lack granular understanding of how politicians in the capital translate policy into practice for their communities.</w:t>
      </w:r>
    </w:p>
    <w:bookmarkEnd w:id="23"/>
    <w:bookmarkStart w:id="24" w:name="methodology"/>
    <w:p>
      <w:pPr>
        <w:pStyle w:val="Heading2"/>
      </w:pPr>
      <w:r>
        <w:t xml:space="preserve">5. Methodology</w:t>
      </w:r>
    </w:p>
    <w:p>
      <w:pPr>
        <w:pStyle w:val="FirstParagraph"/>
      </w:pPr>
      <w:r>
        <w:t xml:space="preserve">This study employs a sequential mixed-methods design over 18 months (Ankara fieldwork period: October 2024–March 2026):</w:t>
      </w:r>
    </w:p>
    <w:p>
      <w:pPr>
        <w:numPr>
          <w:ilvl w:val="0"/>
          <w:numId w:val="1002"/>
        </w:numPr>
        <w:pStyle w:val="Compact"/>
      </w:pPr>
      <w:r>
        <w:rPr>
          <w:bCs/>
          <w:b/>
        </w:rPr>
        <w:t xml:space="preserve">Phase 1 (Quantitative):</w:t>
      </w:r>
      <w:r>
        <w:t xml:space="preserve"> </w:t>
      </w:r>
      <w:r>
        <w:t xml:space="preserve">Survey of 1,200 Ankara residents across seven districts measuring trust in local politicians, perceived policy impact, and service accessibility (using stratified random sampling).</w:t>
      </w:r>
    </w:p>
    <w:p>
      <w:pPr>
        <w:numPr>
          <w:ilvl w:val="0"/>
          <w:numId w:val="1002"/>
        </w:numPr>
        <w:pStyle w:val="Compact"/>
      </w:pPr>
      <w:r>
        <w:rPr>
          <w:bCs/>
          <w:b/>
        </w:rPr>
        <w:t xml:space="preserve">Phase 2 (Qualitative):</w:t>
      </w:r>
      <w:r>
        <w:t xml:space="preserve"> </w:t>
      </w:r>
      <w:r>
        <w:t xml:space="preserve">In-depth interviews with 35 elected officials (including mayors of district municipalities and MPs representing Ankara constituencies) and 20 civil society representatives to analyze institutional pressures.</w:t>
      </w:r>
    </w:p>
    <w:p>
      <w:pPr>
        <w:numPr>
          <w:ilvl w:val="0"/>
          <w:numId w:val="1002"/>
        </w:numPr>
        <w:pStyle w:val="Compact"/>
      </w:pPr>
      <w:r>
        <w:rPr>
          <w:bCs/>
          <w:b/>
        </w:rPr>
        <w:t xml:space="preserve">Phase 3 (Policy Analysis):</w:t>
      </w:r>
      <w:r>
        <w:t xml:space="preserve"> </w:t>
      </w:r>
      <w:r>
        <w:t xml:space="preserve">Document review of municipal council minutes, social media interactions, and policy implementation reports from Ankara Metropolitan Municipality since 2019.</w:t>
      </w:r>
    </w:p>
    <w:p>
      <w:pPr>
        <w:pStyle w:val="FirstParagraph"/>
      </w:pPr>
      <w:r>
        <w:t xml:space="preserve">All data collection will comply with Turkish ethical standards for research involving public officials. Geospatial analysis will map political service delivery gaps against socioeconomic indicators (e.g., using Istanbul University's Urban Data Platform). Statistical analysis (SPSS) will identify correlations between politician engagement and public satisfaction, while thematic coding of interviews will reveal systemic barriers.</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 to Turkish political science:</w:t>
      </w:r>
    </w:p>
    <w:p>
      <w:pPr>
        <w:numPr>
          <w:ilvl w:val="0"/>
          <w:numId w:val="1003"/>
        </w:numPr>
        <w:pStyle w:val="Compact"/>
      </w:pPr>
      <w:r>
        <w:rPr>
          <w:bCs/>
          <w:b/>
        </w:rPr>
        <w:t xml:space="preserve">Policy Impact:</w:t>
      </w:r>
      <w:r>
        <w:t xml:space="preserve"> </w:t>
      </w:r>
      <w:r>
        <w:t xml:space="preserve">A publicly accessible "Ankara Political Accountability Dashboard" for citizens and municipal oversight bodies, highlighting service delivery metrics by district.</w:t>
      </w:r>
    </w:p>
    <w:p>
      <w:pPr>
        <w:numPr>
          <w:ilvl w:val="0"/>
          <w:numId w:val="1003"/>
        </w:numPr>
        <w:pStyle w:val="Compact"/>
      </w:pPr>
      <w:r>
        <w:rPr>
          <w:bCs/>
          <w:b/>
        </w:rPr>
        <w:t xml:space="preserve">Theoretical Advancement:</w:t>
      </w:r>
      <w:r>
        <w:t xml:space="preserve"> </w:t>
      </w:r>
      <w:r>
        <w:t xml:space="preserve">A new conceptual model—"Capital City Mediation Theory"—explaining how politicians in Turkey's central administrative hub negotiate national directives with local needs, addressing a critical gap in comparative urban governance literature.</w:t>
      </w:r>
    </w:p>
    <w:p>
      <w:pPr>
        <w:numPr>
          <w:ilvl w:val="0"/>
          <w:numId w:val="1003"/>
        </w:numPr>
        <w:pStyle w:val="Compact"/>
      </w:pPr>
      <w:r>
        <w:rPr>
          <w:bCs/>
          <w:b/>
        </w:rPr>
        <w:t xml:space="preserve">Social Relevance:</w:t>
      </w:r>
      <w:r>
        <w:t xml:space="preserve"> </w:t>
      </w:r>
      <w:r>
        <w:t xml:space="preserve">Practical recommendations for political parties and Ankara-based institutions to rebuild public trust through tangible service improvements (e.g., streamlined complaint systems, district-level policy councils).</w:t>
      </w:r>
    </w:p>
    <w:p>
      <w:pPr>
        <w:pStyle w:val="FirstParagraph"/>
      </w:pPr>
      <w:r>
        <w:t xml:space="preserve">Given that Ankara represents the administrative heartbeat of Turkey, findings will directly inform the 2028 local elections and national urban policies. Crucially, this research centers</w:t>
      </w:r>
      <w:r>
        <w:t xml:space="preserve"> </w:t>
      </w:r>
      <w:r>
        <w:rPr>
          <w:iCs/>
          <w:i/>
        </w:rPr>
        <w:t xml:space="preserve">politicians</w:t>
      </w:r>
      <w:r>
        <w:t xml:space="preserve"> </w:t>
      </w:r>
      <w:r>
        <w:t xml:space="preserve">not as passive implementers but as strategic actors within a highly contested political environment—a perspective vital for sustainable democratic development in Turkey.</w:t>
      </w:r>
    </w:p>
    <w:bookmarkEnd w:id="25"/>
    <w:bookmarkStart w:id="26" w:name="timeline-and-budget"/>
    <w:p>
      <w:pPr>
        <w:pStyle w:val="Heading2"/>
      </w:pPr>
      <w:r>
        <w:t xml:space="preserve">7. Timeline and Budget</w:t>
      </w:r>
    </w:p>
    <w:p>
      <w:pPr>
        <w:pStyle w:val="FirstParagraph"/>
      </w:pPr>
      <w:r>
        <w:rPr>
          <w:bCs/>
          <w:b/>
        </w:rPr>
        <w:t xml:space="preserve">Timeline:</w:t>
      </w:r>
    </w:p>
    <w:p>
      <w:pPr>
        <w:numPr>
          <w:ilvl w:val="0"/>
          <w:numId w:val="1004"/>
        </w:numPr>
        <w:pStyle w:val="Compact"/>
      </w:pPr>
      <w:r>
        <w:t xml:space="preserve">Months 1–3: Ethics approval, survey design, and partner coordination with Ankara University's Political Science Department.</w:t>
      </w:r>
    </w:p>
    <w:p>
      <w:pPr>
        <w:numPr>
          <w:ilvl w:val="0"/>
          <w:numId w:val="1004"/>
        </w:numPr>
        <w:pStyle w:val="Compact"/>
      </w:pPr>
      <w:r>
        <w:t xml:space="preserve">Months 4–9: Quantitative data collection (fieldwork across Ankara districts).</w:t>
      </w:r>
    </w:p>
    <w:p>
      <w:pPr>
        <w:numPr>
          <w:ilvl w:val="0"/>
          <w:numId w:val="1004"/>
        </w:numPr>
        <w:pStyle w:val="Compact"/>
      </w:pPr>
      <w:r>
        <w:t xml:space="preserve">Months 10–15: Qualitative interviews and policy document analysis.</w:t>
      </w:r>
    </w:p>
    <w:p>
      <w:pPr>
        <w:numPr>
          <w:ilvl w:val="0"/>
          <w:numId w:val="1004"/>
        </w:numPr>
        <w:pStyle w:val="Compact"/>
      </w:pPr>
      <w:r>
        <w:t xml:space="preserve">Months 16–18: Data synthesis, draft report, and dissemination workshops with Ankara municipal officials.</w:t>
      </w:r>
    </w:p>
    <w:p>
      <w:pPr>
        <w:pStyle w:val="FirstParagraph"/>
      </w:pPr>
      <w:r>
        <w:rPr>
          <w:bCs/>
          <w:b/>
        </w:rPr>
        <w:t xml:space="preserve">Budget:</w:t>
      </w:r>
      <w:r>
        <w:t xml:space="preserve"> </w:t>
      </w:r>
      <w:r>
        <w:t xml:space="preserve">Total request of $48,500 (funding secured through TÜBİTAK grant applications), covering researcher stipends ($22,000), fieldwork logistics ($15,500), translation services for interviews ($6,750), and open-access publication fees ($4,250).</w:t>
      </w:r>
    </w:p>
    <w:bookmarkEnd w:id="26"/>
    <w:bookmarkStart w:id="27" w:name="conclusion"/>
    <w:p>
      <w:pPr>
        <w:pStyle w:val="Heading2"/>
      </w:pPr>
      <w:r>
        <w:t xml:space="preserve">8. Conclusion</w:t>
      </w:r>
    </w:p>
    <w:p>
      <w:pPr>
        <w:pStyle w:val="FirstParagraph"/>
      </w:pPr>
      <w:r>
        <w:t xml:space="preserve">The political trajectory of Turkey cannot be fully understood without examining the lived experience of its most influential politicians in Ankara. This research proposes an urgent, context-specific investigation into how elected officials operate within the capital's unique administrative and ideological landscape—a necessary step toward strengthening democratic resilience in a nation at a crossroads. By centering</w:t>
      </w:r>
      <w:r>
        <w:t xml:space="preserve"> </w:t>
      </w:r>
      <w:r>
        <w:rPr>
          <w:iCs/>
          <w:i/>
        </w:rPr>
        <w:t xml:space="preserve">politician</w:t>
      </w:r>
      <w:r>
        <w:t xml:space="preserve"> </w:t>
      </w:r>
      <w:r>
        <w:t xml:space="preserve">agency within Turkey Ankara's political reality, this study will generate actionable knowledge for citizens, policymakers, and scholars committed to advancing accountable governance in one of the world’s most dynamic political environments. We respectfully request support to initiate this vital inquiry into the heart of Turkish democracy.</w:t>
      </w:r>
    </w:p>
    <w:bookmarkEnd w:id="27"/>
    <w:bookmarkStart w:id="28" w:name="references-selected"/>
    <w:p>
      <w:pPr>
        <w:pStyle w:val="Heading2"/>
      </w:pPr>
      <w:r>
        <w:t xml:space="preserve">References (Selected)</w:t>
      </w:r>
    </w:p>
    <w:p>
      <w:pPr>
        <w:numPr>
          <w:ilvl w:val="0"/>
          <w:numId w:val="1005"/>
        </w:numPr>
        <w:pStyle w:val="Compact"/>
      </w:pPr>
      <w:r>
        <w:t xml:space="preserve">Akar, E. (2020). *Ankara Municipal Elections: Urban Politics and Electoral Behavior*. Ankara University Press.</w:t>
      </w:r>
    </w:p>
    <w:p>
      <w:pPr>
        <w:numPr>
          <w:ilvl w:val="0"/>
          <w:numId w:val="1005"/>
        </w:numPr>
        <w:pStyle w:val="Compact"/>
      </w:pPr>
      <w:r>
        <w:t xml:space="preserve">Çinar, M., &amp; Dincer, R. (2019). "Rural-urban Divides in Turkish Voting." *Turkish Studies*, 20(4), 678–695.</w:t>
      </w:r>
    </w:p>
    <w:p>
      <w:pPr>
        <w:numPr>
          <w:ilvl w:val="0"/>
          <w:numId w:val="1005"/>
        </w:numPr>
        <w:pStyle w:val="Compact"/>
      </w:pPr>
      <w:r>
        <w:t xml:space="preserve">Gürbüz, S. (2021). "Local Governance and Trust in Turkey." *Journal of Urban Affairs*, 43(5), 719–735.</w:t>
      </w:r>
    </w:p>
    <w:p>
      <w:pPr>
        <w:numPr>
          <w:ilvl w:val="0"/>
          <w:numId w:val="1005"/>
        </w:numPr>
        <w:pStyle w:val="Compact"/>
      </w:pPr>
      <w:r>
        <w:t xml:space="preserve">Kirişçi, K. (2018). *Turkey's Democratic Breakdown*. Brookings Institution Press.</w:t>
      </w:r>
    </w:p>
    <w:p>
      <w:pPr>
        <w:numPr>
          <w:ilvl w:val="0"/>
          <w:numId w:val="1005"/>
        </w:numPr>
        <w:pStyle w:val="Compact"/>
      </w:pPr>
      <w:r>
        <w:t xml:space="preserve">Tocci, N. (2019). "The Crisis of Turkish Democracy." *European Journal of Political Research*, 58(4), 679–692.</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Ankara's Elected Representatives in Contemporary Turkey</dc:title>
  <dc:creator/>
  <dc:language>en</dc:language>
  <cp:keywords/>
  <dcterms:created xsi:type="dcterms:W3CDTF">2026-07-23T03:06:23Z</dcterms:created>
  <dcterms:modified xsi:type="dcterms:W3CDTF">2026-07-23T03:06:23Z</dcterms:modified>
</cp:coreProperties>
</file>

<file path=docProps/custom.xml><?xml version="1.0" encoding="utf-8"?>
<Properties xmlns="http://schemas.openxmlformats.org/officeDocument/2006/custom-properties" xmlns:vt="http://schemas.openxmlformats.org/officeDocument/2006/docPropsVTypes"/>
</file>