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Policy</w:t>
      </w:r>
      <w:r>
        <w:t xml:space="preserve"> </w:t>
      </w:r>
      <w:r>
        <w:t xml:space="preserve">Implementation</w:t>
      </w:r>
      <w:r>
        <w:t xml:space="preserve"> </w:t>
      </w:r>
      <w:r>
        <w:t xml:space="preserve">Efficacy</w:t>
      </w:r>
      <w:r>
        <w:t xml:space="preserve"> </w:t>
      </w:r>
      <w:r>
        <w:t xml:space="preserve">Among</w:t>
      </w:r>
      <w:r>
        <w:t xml:space="preserve"> </w:t>
      </w:r>
      <w:r>
        <w:t xml:space="preserve">Dubai</w:t>
      </w:r>
      <w:r>
        <w:t xml:space="preserve"> </w:t>
      </w:r>
      <w:r>
        <w:t xml:space="preserve">Government</w:t>
      </w:r>
      <w:r>
        <w:t xml:space="preserve"> </w:t>
      </w:r>
      <w:r>
        <w:t xml:space="preserve">Decision-Makers</w:t>
      </w:r>
    </w:p>
    <w:bookmarkStart w:id="33" w:name="Xdea6f3adf2fa49dbe68952e32793cec1646e618"/>
    <w:p>
      <w:pPr>
        <w:pStyle w:val="Heading1"/>
      </w:pPr>
      <w:r>
        <w:t xml:space="preserve">Research Proposal: Analyzing the Role of Government Decision-Makers in Policy Implementation within Dubai, United Arab Emirates</w:t>
      </w:r>
    </w:p>
    <w:bookmarkStart w:id="20" w:name="abstract"/>
    <w:p>
      <w:pPr>
        <w:pStyle w:val="Heading2"/>
      </w:pPr>
      <w:r>
        <w:t xml:space="preserve">Abstract</w:t>
      </w:r>
    </w:p>
    <w:p>
      <w:pPr>
        <w:pStyle w:val="FirstParagraph"/>
      </w:pPr>
      <w:r>
        <w:t xml:space="preserve">This research proposal investigates the efficacy of policy implementation by government decision-makers in Dubai, United Arab Emirates. Moving beyond conventional political discourse, this study focuses on the practical governance mechanisms that drive Dubai’s transformation into a global economic and cultural hub. The research addresses a critical gap in understanding how non-elective government structures—central to the United Arab Emirates’ federal system—translate strategic visions like Dubai Vision 2030 into tangible outcomes. Through mixed-methods analysis, this project will assess decision-making processes, stakeholder engagement patterns, and implementation challenges among key Dubai authorities. Findings will provide actionable insights for enhancing governance effectiveness within the United Arab Emirates Dubai context while contributing to global comparative urban governance studies.</w:t>
      </w:r>
    </w:p>
    <w:bookmarkEnd w:id="20"/>
    <w:bookmarkStart w:id="21" w:name="X30d9425ac334e4cfcc67c23ab38a0d423a31c4a"/>
    <w:p>
      <w:pPr>
        <w:pStyle w:val="Heading2"/>
      </w:pPr>
      <w:r>
        <w:t xml:space="preserve">1. Introduction: The Context of Governance in Dubai</w:t>
      </w:r>
    </w:p>
    <w:p>
      <w:pPr>
        <w:pStyle w:val="FirstParagraph"/>
      </w:pPr>
      <w:r>
        <w:t xml:space="preserve">The United Arab Emirates (UAE) operates under a unique federal constitutional monarchy where political authority is vested in hereditary rulers, not elected politicians. In Dubai, the Ruler serves as the chief executive and policy architect, with government decision-makers operating within this framework rather than a parliamentary system. This distinctive model has propelled Dubai into a global leader in tourism, finance, and innovation. However, systematic analysis of how these government decision-makers—ranging from cabinet ministers to emirate-level officials—navigate complex implementation challenges remains limited. This research directly addresses the need to understand policy execution within Dubai’s specific governance ecosystem, recognizing that "politician" as understood in Western democracies does not apply here. Instead, the study focuses on strategic government actors who shape Dubai’s trajectory.</w:t>
      </w:r>
    </w:p>
    <w:bookmarkEnd w:id="21"/>
    <w:bookmarkStart w:id="22" w:name="problem-statement"/>
    <w:p>
      <w:pPr>
        <w:pStyle w:val="Heading2"/>
      </w:pPr>
      <w:r>
        <w:t xml:space="preserve">2. Problem Statement</w:t>
      </w:r>
    </w:p>
    <w:p>
      <w:pPr>
        <w:pStyle w:val="FirstParagraph"/>
      </w:pPr>
      <w:r>
        <w:t xml:space="preserve">Despite Dubai’s remarkable development achievements, critical implementation gaps persist across sectors like sustainability (e.g., achieving net-zero by 2050), digital transformation, and Emirati workforce integration. Current literature predominantly examines UAE politics through a Western lens, overlooking Dubai’s pragmatic governance model. This disconnect leads to misdiagnosis of challenges: for instance, attributing policy delays to "political infighting" when systemic factors—such as multi-agency coordination in a rapidly evolving city—are primary drivers. Without precise understanding of how Dubai’s government decision-makers operate within the United Arab Emirates’ federal structure, international stakeholders and local policymakers risk ineffective interventions. This research will establish a foundational analysis of implementation efficacy specifically for Dubai, moving beyond generic "political" frameworks to address UAE governance realities.</w:t>
      </w:r>
    </w:p>
    <w:bookmarkEnd w:id="22"/>
    <w:bookmarkStart w:id="23" w:name="research-objectives"/>
    <w:p>
      <w:pPr>
        <w:pStyle w:val="Heading2"/>
      </w:pPr>
      <w:r>
        <w:t xml:space="preserve">3. Research Objectives</w:t>
      </w:r>
    </w:p>
    <w:p>
      <w:pPr>
        <w:numPr>
          <w:ilvl w:val="0"/>
          <w:numId w:val="1001"/>
        </w:numPr>
        <w:pStyle w:val="Compact"/>
      </w:pPr>
      <w:r>
        <w:t xml:space="preserve">To map the decision-making pathways of key Dubai government entities (e.g., Department of Economic Development, Dubai Municipality) in executing strategic initiatives aligned with Dubai Vision 2030.</w:t>
      </w:r>
    </w:p>
    <w:p>
      <w:pPr>
        <w:numPr>
          <w:ilvl w:val="0"/>
          <w:numId w:val="1001"/>
        </w:numPr>
        <w:pStyle w:val="Compact"/>
      </w:pPr>
      <w:r>
        <w:t xml:space="preserve">To evaluate the efficacy of inter-agency coordination mechanisms in policy implementation across three priority sectors: sustainable tourism, artificial intelligence adoption, and Emiratization programs.</w:t>
      </w:r>
    </w:p>
    <w:p>
      <w:pPr>
        <w:numPr>
          <w:ilvl w:val="0"/>
          <w:numId w:val="1001"/>
        </w:numPr>
        <w:pStyle w:val="Compact"/>
      </w:pPr>
      <w:r>
        <w:t xml:space="preserve">To identify institutional barriers (e.g., data silos, resource allocation) that impede timely execution of high-impact policies in Dubai.</w:t>
      </w:r>
    </w:p>
    <w:p>
      <w:pPr>
        <w:numPr>
          <w:ilvl w:val="0"/>
          <w:numId w:val="1001"/>
        </w:numPr>
        <w:pStyle w:val="Compact"/>
      </w:pPr>
      <w:r>
        <w:t xml:space="preserve">To develop a context-specific governance framework for enhancing policy implementation within the United Arab Emirates Dubai structure.</w:t>
      </w:r>
    </w:p>
    <w:bookmarkEnd w:id="23"/>
    <w:bookmarkStart w:id="28" w:name="methodology"/>
    <w:p>
      <w:pPr>
        <w:pStyle w:val="Heading2"/>
      </w:pPr>
      <w:r>
        <w:t xml:space="preserve">4. Methodology</w:t>
      </w:r>
    </w:p>
    <w:p>
      <w:pPr>
        <w:pStyle w:val="FirstParagraph"/>
      </w:pPr>
      <w:r>
        <w:t xml:space="preserve">This study employs a sequential mixed-methods design tailored to UAE governance norms:</w:t>
      </w:r>
    </w:p>
    <w:bookmarkStart w:id="24" w:name="Xcb417fe4d3ddb430092854a5b880fb4d2ca9f00"/>
    <w:p>
      <w:pPr>
        <w:pStyle w:val="Heading3"/>
      </w:pPr>
      <w:r>
        <w:t xml:space="preserve">Phase 1: Document Analysis &amp; Stakeholder Mapping</w:t>
      </w:r>
    </w:p>
    <w:p>
      <w:pPr>
        <w:pStyle w:val="FirstParagraph"/>
      </w:pPr>
      <w:r>
        <w:t xml:space="preserve">Systematically review Dubai government policy documents (e.g., Dubai Strategic Plan, Economic Objectives), public reports from entities like DIFC and Dubai Future Foundation, and academic analyses of UAE governance. A stakeholder map will identify all actors involved in key policy cycles within the United Arab Emirates Dubai context.</w:t>
      </w:r>
    </w:p>
    <w:bookmarkEnd w:id="24"/>
    <w:bookmarkStart w:id="25" w:name="phase-2-qualitative-interviews"/>
    <w:p>
      <w:pPr>
        <w:pStyle w:val="Heading3"/>
      </w:pPr>
      <w:r>
        <w:t xml:space="preserve">Phase 2: Qualitative Interviews</w:t>
      </w:r>
    </w:p>
    <w:p>
      <w:pPr>
        <w:pStyle w:val="FirstParagraph"/>
      </w:pPr>
      <w:r>
        <w:t xml:space="preserve">Conduct semi-structured interviews with 25–30 government decision-makers across Dubai’s executive bodies, including senior officials from the Executive Council, Department of Economic Development, and sector-specific authorities. Interviews will focus on implementation challenges using UAE-aligned terminology (e.g., "strategic alignment," "resource mobilization") rather than Western political constructs.</w:t>
      </w:r>
    </w:p>
    <w:bookmarkEnd w:id="25"/>
    <w:bookmarkStart w:id="26" w:name="phase-3-quantitative-validation"/>
    <w:p>
      <w:pPr>
        <w:pStyle w:val="Heading3"/>
      </w:pPr>
      <w:r>
        <w:t xml:space="preserve">Phase 3: Quantitative Validation</w:t>
      </w:r>
    </w:p>
    <w:p>
      <w:pPr>
        <w:pStyle w:val="FirstParagraph"/>
      </w:pPr>
      <w:r>
        <w:t xml:space="preserve">Analyze implementation timelines and KPIs for 10 major Dubai initiatives (e.g., Dubai Smart City, Expo 2020 legacy projects) using publicly available data from Dubai Statistics Centre. Statistical correlation analysis will link decision-making structure variables to outcome efficiency.</w:t>
      </w:r>
    </w:p>
    <w:bookmarkEnd w:id="26"/>
    <w:bookmarkStart w:id="27" w:name="ethical-considerations"/>
    <w:p>
      <w:pPr>
        <w:pStyle w:val="Heading3"/>
      </w:pPr>
      <w:r>
        <w:t xml:space="preserve">Ethical Considerations</w:t>
      </w:r>
    </w:p>
    <w:p>
      <w:pPr>
        <w:pStyle w:val="FirstParagraph"/>
      </w:pPr>
      <w:r>
        <w:t xml:space="preserve">Full compliance with UAE government research protocols and Emirati data protection regulations (Federal Decree-Law No. 45/2021) will be ensured. All participant data will be anonymized, and permission obtained from Dubai’s Research Ethics Committee prior to engagement.</w:t>
      </w:r>
    </w:p>
    <w:bookmarkEnd w:id="27"/>
    <w:bookmarkEnd w:id="28"/>
    <w:bookmarkStart w:id="29" w:name="significance-of-the-study"/>
    <w:p>
      <w:pPr>
        <w:pStyle w:val="Heading2"/>
      </w:pPr>
      <w:r>
        <w:t xml:space="preserve">5. Significance of the Study</w:t>
      </w:r>
    </w:p>
    <w:p>
      <w:pPr>
        <w:pStyle w:val="FirstParagraph"/>
      </w:pPr>
      <w:r>
        <w:t xml:space="preserve">This research holds unique value for multiple stakeholders in the United Arab Emirates Dubai ecosystem:</w:t>
      </w:r>
    </w:p>
    <w:p>
      <w:pPr>
        <w:numPr>
          <w:ilvl w:val="0"/>
          <w:numId w:val="1002"/>
        </w:numPr>
        <w:pStyle w:val="Compact"/>
      </w:pPr>
      <w:r>
        <w:rPr>
          <w:bCs/>
          <w:b/>
        </w:rPr>
        <w:t xml:space="preserve">For UAE Government:</w:t>
      </w:r>
      <w:r>
        <w:t xml:space="preserve"> </w:t>
      </w:r>
      <w:r>
        <w:t xml:space="preserve">Provides evidence-based insights to refine decision-making protocols, directly supporting Dubai’s aspiration to be a "global hub of innovation" (Dubai 2040 Urban Master Plan).</w:t>
      </w:r>
    </w:p>
    <w:p>
      <w:pPr>
        <w:numPr>
          <w:ilvl w:val="0"/>
          <w:numId w:val="1002"/>
        </w:numPr>
        <w:pStyle w:val="Compact"/>
      </w:pPr>
      <w:r>
        <w:rPr>
          <w:bCs/>
          <w:b/>
        </w:rPr>
        <w:t xml:space="preserve">For International Organizations:</w:t>
      </w:r>
      <w:r>
        <w:t xml:space="preserve"> </w:t>
      </w:r>
      <w:r>
        <w:t xml:space="preserve">Offers a non-Western governance model for cities navigating rapid urbanization, countering one-size-fits-all policy prescriptions.</w:t>
      </w:r>
    </w:p>
    <w:p>
      <w:pPr>
        <w:numPr>
          <w:ilvl w:val="0"/>
          <w:numId w:val="1002"/>
        </w:numPr>
        <w:pStyle w:val="Compact"/>
      </w:pPr>
      <w:r>
        <w:rPr>
          <w:bCs/>
          <w:b/>
        </w:rPr>
        <w:t xml:space="preserve">For Academic Discourse:</w:t>
      </w:r>
      <w:r>
        <w:t xml:space="preserve"> </w:t>
      </w:r>
      <w:r>
        <w:t xml:space="preserve">Advances global understanding of non-democratic governance efficacy, contributing to the underdeveloped field of "Gulf Urban Governance."</w:t>
      </w:r>
    </w:p>
    <w:p>
      <w:pPr>
        <w:numPr>
          <w:ilvl w:val="0"/>
          <w:numId w:val="1002"/>
        </w:numPr>
        <w:pStyle w:val="Compact"/>
      </w:pPr>
      <w:r>
        <w:rPr>
          <w:bCs/>
          <w:b/>
        </w:rPr>
        <w:t xml:space="preserve">For Dubai’s Development Goals:</w:t>
      </w:r>
      <w:r>
        <w:t xml:space="preserve"> </w:t>
      </w:r>
      <w:r>
        <w:t xml:space="preserve">Addresses critical gaps in implementation that hinder achieving targets like 50% Emirati employment in private sector by 2031.</w:t>
      </w:r>
    </w:p>
    <w:bookmarkEnd w:id="29"/>
    <w:bookmarkStart w:id="30" w:name="expected-outcomes-and-timeline"/>
    <w:p>
      <w:pPr>
        <w:pStyle w:val="Heading2"/>
      </w:pPr>
      <w:r>
        <w:t xml:space="preserve">6. Expected Outcomes and Timeline</w:t>
      </w:r>
    </w:p>
    <w:p>
      <w:pPr>
        <w:pStyle w:val="FirstParagraph"/>
      </w:pPr>
      <w:r>
        <w:t xml:space="preserve">A comprehensive governance framework will be delivered, featuring:</w:t>
      </w:r>
    </w:p>
    <w:p>
      <w:pPr>
        <w:numPr>
          <w:ilvl w:val="0"/>
          <w:numId w:val="1003"/>
        </w:numPr>
        <w:pStyle w:val="Compact"/>
      </w:pPr>
      <w:r>
        <w:t xml:space="preserve">A decision-making maturity model specific to Dubai’s executive structure.</w:t>
      </w:r>
    </w:p>
    <w:p>
      <w:pPr>
        <w:numPr>
          <w:ilvl w:val="0"/>
          <w:numId w:val="1003"/>
        </w:numPr>
        <w:pStyle w:val="Compact"/>
      </w:pPr>
      <w:r>
        <w:t xml:space="preserve">Actionable policy briefs for key Dubai authorities (e.g., streamlined inter-agency protocols for sustainability initiatives).</w:t>
      </w:r>
    </w:p>
    <w:p>
      <w:pPr>
        <w:numPr>
          <w:ilvl w:val="0"/>
          <w:numId w:val="1003"/>
        </w:numPr>
        <w:pStyle w:val="Compact"/>
      </w:pPr>
      <w:r>
        <w:t xml:space="preserve">Academic publications in journals like the Journal of Gulf and Arabian Peninsula Studies.</w:t>
      </w:r>
    </w:p>
    <w:p>
      <w:pPr>
        <w:pStyle w:val="FirstParagraph"/>
      </w:pPr>
      <w:r>
        <w:t xml:space="preserve">The 18-month timeline includes: Months 1–3 (Literature Review &amp; Protocol Approval), Months 4–9 (Data Collection), Months 10–15 (Analysis &amp; Framework Development), and Months 16–18 (Dissemination).</w:t>
      </w:r>
    </w:p>
    <w:bookmarkEnd w:id="30"/>
    <w:bookmarkStart w:id="31" w:name="conclusion"/>
    <w:p>
      <w:pPr>
        <w:pStyle w:val="Heading2"/>
      </w:pPr>
      <w:r>
        <w:t xml:space="preserve">7. Conclusion</w:t>
      </w:r>
    </w:p>
    <w:p>
      <w:pPr>
        <w:pStyle w:val="FirstParagraph"/>
      </w:pPr>
      <w:r>
        <w:t xml:space="preserve">This research directly responds to the need for nuanced analysis of governance in Dubai, United Arab Emirates, by centering on practical implementation efficacy rather than abstract political roles. By recognizing that Dubai’s "politician" equivalents are strategic government decision-makers operating within a distinctive federal monarchy system, this study avoids conceptual misalignment while delivering tangible value. The findings will empower Dubai’s leadership to optimize its world-renowned development engine, reinforce the UAE’s global governance leadership, and provide a replicable model for cities seeking sustainable growth without electoral politics. As Dubai accelerates toward becoming the world’s most liveable city by 2040 (Dubai Urban Plan 2040), understanding how its government decision-makers execute strategy is not just academically significant—it is fundamental to realizing this vision.</w:t>
      </w:r>
    </w:p>
    <w:bookmarkEnd w:id="31"/>
    <w:bookmarkStart w:id="32" w:name="references-selected"/>
    <w:p>
      <w:pPr>
        <w:pStyle w:val="Heading2"/>
      </w:pPr>
      <w:r>
        <w:t xml:space="preserve">References (Selected)</w:t>
      </w:r>
    </w:p>
    <w:p>
      <w:pPr>
        <w:numPr>
          <w:ilvl w:val="0"/>
          <w:numId w:val="1004"/>
        </w:numPr>
        <w:pStyle w:val="Compact"/>
      </w:pPr>
      <w:r>
        <w:t xml:space="preserve">Government of Dubai. (2021). *Dubai Vision 2030*. Dubai Economic Council.</w:t>
      </w:r>
    </w:p>
    <w:p>
      <w:pPr>
        <w:numPr>
          <w:ilvl w:val="0"/>
          <w:numId w:val="1004"/>
        </w:numPr>
        <w:pStyle w:val="Compact"/>
      </w:pPr>
      <w:r>
        <w:t xml:space="preserve">Al-Mansoori, R. (2019). "The Governance Model of the United Arab Emirates." *Middle East Journal*, 73(4), pp. 567–584.</w:t>
      </w:r>
    </w:p>
    <w:p>
      <w:pPr>
        <w:numPr>
          <w:ilvl w:val="0"/>
          <w:numId w:val="1004"/>
        </w:numPr>
        <w:pStyle w:val="Compact"/>
      </w:pPr>
      <w:r>
        <w:t xml:space="preserve">United Arab Emirates Federal Constitution. (1971, amended 2023). Article 2.</w:t>
      </w:r>
    </w:p>
    <w:p>
      <w:pPr>
        <w:numPr>
          <w:ilvl w:val="0"/>
          <w:numId w:val="1004"/>
        </w:numPr>
        <w:pStyle w:val="Compact"/>
      </w:pPr>
      <w:r>
        <w:t xml:space="preserve">Dubai Department of Economy and Tourism. (2023). *Annual Economic Report*. Dubai Government Press Office.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Policy Implementation Efficacy Among Dubai Government Decision-Makers</dc:title>
  <dc:creator/>
  <dc:language>en</dc:language>
  <cp:keywords/>
  <dcterms:created xsi:type="dcterms:W3CDTF">2026-07-23T20:35:52Z</dcterms:created>
  <dcterms:modified xsi:type="dcterms:W3CDTF">2026-07-23T20:35:52Z</dcterms:modified>
</cp:coreProperties>
</file>

<file path=docProps/custom.xml><?xml version="1.0" encoding="utf-8"?>
<Properties xmlns="http://schemas.openxmlformats.org/officeDocument/2006/custom-properties" xmlns:vt="http://schemas.openxmlformats.org/officeDocument/2006/docPropsVTypes"/>
</file>