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31f50c201564372769102749277c2ebd8e5010a"/>
    <w:p>
      <w:pPr>
        <w:pStyle w:val="Heading1"/>
      </w:pPr>
      <w:r>
        <w:t xml:space="preserve">Research Proposal: Navigating the Complexities of Political Leadership in United States Miami</w:t>
      </w:r>
    </w:p>
    <w:bookmarkStart w:id="20" w:name="Xe19c599a920afa4ec4037baeacae74e95957032"/>
    <w:p>
      <w:pPr>
        <w:pStyle w:val="Heading2"/>
      </w:pPr>
      <w:r>
        <w:t xml:space="preserve">I. Introduction and Contextual Significance</w:t>
      </w:r>
    </w:p>
    <w:p>
      <w:pPr>
        <w:pStyle w:val="FirstParagraph"/>
      </w:pPr>
      <w:r>
        <w:t xml:space="preserve">The political landscape of the United States Miami represents a critical microcosm for understanding contemporary governance in America's most culturally diverse metropolitan regions. As one of the nation's fastest-growing cities with a population exceeding 600,000 residents and over 5 million in its metro area, Miami stands at the intersection of global migration, economic disparity, climate vulnerability, and political polarization. This</w:t>
      </w:r>
      <w:r>
        <w:t xml:space="preserve"> </w:t>
      </w:r>
      <w:r>
        <w:rPr>
          <w:iCs/>
          <w:i/>
        </w:rPr>
        <w:t xml:space="preserve">Research Proposal</w:t>
      </w:r>
      <w:r>
        <w:t xml:space="preserve"> </w:t>
      </w:r>
      <w:r>
        <w:t xml:space="preserve">addresses an urgent need to analyze how local</w:t>
      </w:r>
      <w:r>
        <w:t xml:space="preserve"> </w:t>
      </w:r>
      <w:r>
        <w:rPr>
          <w:iCs/>
          <w:i/>
        </w:rPr>
        <w:t xml:space="preserve">Politician</w:t>
      </w:r>
      <w:r>
        <w:t xml:space="preserve">s navigate these multifaceted challenges within the unique socio-political ecosystem of South Florida. In a city where Cuban-American influence shapes electoral politics alongside significant Haitian, Colombian, Brazilian, and African immigrant communities—each with distinct political priorities—understanding the adaptive strategies of Miami's elected officials becomes essential for democratic resilience across the</w:t>
      </w:r>
      <w:r>
        <w:t xml:space="preserve"> </w:t>
      </w:r>
      <w:r>
        <w:rPr>
          <w:iCs/>
          <w:i/>
        </w:rPr>
        <w:t xml:space="preserve">United States</w:t>
      </w:r>
      <w:r>
        <w:t xml:space="preserve">.</w:t>
      </w:r>
    </w:p>
    <w:bookmarkEnd w:id="20"/>
    <w:bookmarkStart w:id="21" w:name="ii.-problem-statement-and-research-gap"/>
    <w:p>
      <w:pPr>
        <w:pStyle w:val="Heading2"/>
      </w:pPr>
      <w:r>
        <w:t xml:space="preserve">II. Problem Statement and Research Gap</w:t>
      </w:r>
    </w:p>
    <w:p>
      <w:pPr>
        <w:pStyle w:val="FirstParagraph"/>
      </w:pPr>
      <w:r>
        <w:t xml:space="preserve">While national studies extensively analyze U.S. congressional politics, minimal scholarly attention has been devoted to examining how local politicians operate in Miami's distinct environment. Existing literature often treats Miami as a homogenized "Latinx voting bloc" or focuses narrowly on specific issues like immigration enforcement, overlooking the nuanced interplay of cultural identity, economic development priorities, and climate adaptation policies. This oversight creates a significant research gap: How do</w:t>
      </w:r>
      <w:r>
        <w:t xml:space="preserve"> </w:t>
      </w:r>
      <w:r>
        <w:rPr>
          <w:iCs/>
          <w:i/>
        </w:rPr>
        <w:t xml:space="preserve">Politician</w:t>
      </w:r>
      <w:r>
        <w:t xml:space="preserve">s in</w:t>
      </w:r>
      <w:r>
        <w:t xml:space="preserve"> </w:t>
      </w:r>
      <w:r>
        <w:rPr>
          <w:iCs/>
          <w:i/>
        </w:rPr>
        <w:t xml:space="preserve">United States Miami</w:t>
      </w:r>
      <w:r>
        <w:t xml:space="preserve"> </w:t>
      </w:r>
      <w:r>
        <w:t xml:space="preserve">balance competing demands from diverse constituencies while addressing existential threats like sea-level rise (projected to submerge 30% of Miami-Dade by 2060) and housing affordability crises? Without answering this question, policymakers risk implementing solutions that fail to resonate with the city's complex demographic reality.</w:t>
      </w:r>
    </w:p>
    <w:bookmarkEnd w:id="21"/>
    <w:bookmarkStart w:id="22" w:name="iii.-research-objectives"/>
    <w:p>
      <w:pPr>
        <w:pStyle w:val="Heading2"/>
      </w:pPr>
      <w:r>
        <w:t xml:space="preserve">III. Research Objectives</w:t>
      </w:r>
    </w:p>
    <w:p>
      <w:pPr>
        <w:pStyle w:val="FirstParagraph"/>
      </w:pPr>
      <w:r>
        <w:t xml:space="preserve">This study aims to achieve three critical objectives:</w:t>
      </w:r>
    </w:p>
    <w:p>
      <w:pPr>
        <w:numPr>
          <w:ilvl w:val="0"/>
          <w:numId w:val="1001"/>
        </w:numPr>
        <w:pStyle w:val="Compact"/>
      </w:pPr>
      <w:r>
        <w:rPr>
          <w:bCs/>
          <w:b/>
        </w:rPr>
        <w:t xml:space="preserve">Decoding Identity Politics:</w:t>
      </w:r>
      <w:r>
        <w:t xml:space="preserve"> </w:t>
      </w:r>
      <w:r>
        <w:t xml:space="preserve">Document how Miami-based politicians strategically leverage or navigate cultural identities (Cuban, Haitian, Venezuelan, Bahamian) in campaign messaging and policy formation.</w:t>
      </w:r>
    </w:p>
    <w:p>
      <w:pPr>
        <w:numPr>
          <w:ilvl w:val="0"/>
          <w:numId w:val="1001"/>
        </w:numPr>
        <w:pStyle w:val="Compact"/>
      </w:pPr>
      <w:r>
        <w:rPr>
          <w:bCs/>
          <w:b/>
        </w:rPr>
        <w:t xml:space="preserve">Economic Policy Innovation:</w:t>
      </w:r>
      <w:r>
        <w:t xml:space="preserve"> </w:t>
      </w:r>
      <w:r>
        <w:t xml:space="preserve">Analyze the intersection of political decision-making and economic development priorities across Miami's tourism-dependent economy versus emerging tech sectors.</w:t>
      </w:r>
    </w:p>
    <w:p>
      <w:pPr>
        <w:numPr>
          <w:ilvl w:val="0"/>
          <w:numId w:val="1001"/>
        </w:numPr>
        <w:pStyle w:val="Compact"/>
      </w:pPr>
      <w:r>
        <w:rPr>
          <w:bCs/>
          <w:b/>
        </w:rPr>
        <w:t xml:space="preserve">Climate Governance Frameworks:</w:t>
      </w:r>
      <w:r>
        <w:t xml:space="preserve"> </w:t>
      </w:r>
      <w:r>
        <w:t xml:space="preserve">Evaluate how local politicians translate federal climate policies into actionable municipal strategies amid escalating flood risks, focusing on equity considerations for vulnerable communities like Little Haiti and Liberty City.</w:t>
      </w:r>
    </w:p>
    <w:bookmarkEnd w:id="22"/>
    <w:bookmarkStart w:id="26" w:name="iv.-methodology-a-mixed-methods-approach"/>
    <w:p>
      <w:pPr>
        <w:pStyle w:val="Heading2"/>
      </w:pPr>
      <w:r>
        <w:t xml:space="preserve">IV. Methodology: A Mixed-Methods Approach</w:t>
      </w:r>
    </w:p>
    <w:p>
      <w:pPr>
        <w:pStyle w:val="FirstParagraph"/>
      </w:pPr>
      <w:r>
        <w:t xml:space="preserve">This proposal employs a triangulated methodology to ensure robust insights:</w:t>
      </w:r>
    </w:p>
    <w:bookmarkStart w:id="23" w:name="a.-qualitative-component-phase-1"/>
    <w:p>
      <w:pPr>
        <w:pStyle w:val="Heading3"/>
      </w:pPr>
      <w:r>
        <w:t xml:space="preserve">A. Qualitative Component (Phase 1)</w:t>
      </w:r>
    </w:p>
    <w:p>
      <w:pPr>
        <w:pStyle w:val="FirstParagraph"/>
      </w:pPr>
      <w:r>
        <w:t xml:space="preserve">Conduct in-depth, semi-structured interviews with 25+ key stakeholders across Miami's political ecosystem:</w:t>
      </w:r>
      <w:r>
        <w:t xml:space="preserve"> </w:t>
      </w:r>
      <w:r>
        <w:t xml:space="preserve">• Current and former city council members, county commissioners, and state representatives</w:t>
      </w:r>
      <w:r>
        <w:t xml:space="preserve"> </w:t>
      </w:r>
      <w:r>
        <w:t xml:space="preserve">• Mayoral campaign managers from diverse ideological backgrounds</w:t>
      </w:r>
      <w:r>
        <w:t xml:space="preserve"> </w:t>
      </w:r>
      <w:r>
        <w:t xml:space="preserve">• Community organization leaders representing major demographic groups</w:t>
      </w:r>
    </w:p>
    <w:bookmarkEnd w:id="23"/>
    <w:bookmarkStart w:id="24" w:name="b.-quantitative-component-phase-2"/>
    <w:p>
      <w:pPr>
        <w:pStyle w:val="Heading3"/>
      </w:pPr>
      <w:r>
        <w:t xml:space="preserve">B. Quantitative Component (Phase 2)</w:t>
      </w:r>
    </w:p>
    <w:p>
      <w:pPr>
        <w:pStyle w:val="FirstParagraph"/>
      </w:pPr>
      <w:r>
        <w:t xml:space="preserve">Analyze voting records across 5 municipal elections (2017-2023) using:</w:t>
      </w:r>
      <w:r>
        <w:t xml:space="preserve"> </w:t>
      </w:r>
      <w:r>
        <w:t xml:space="preserve">• Geographic Information Systems (GIS) mapping to correlate policy votes with neighborhood demographics</w:t>
      </w:r>
      <w:r>
        <w:t xml:space="preserve"> </w:t>
      </w:r>
      <w:r>
        <w:t xml:space="preserve">• Regression analysis of campaign finance data against constituent outcomes</w:t>
      </w:r>
      <w:r>
        <w:t xml:space="preserve"> </w:t>
      </w:r>
      <w:r>
        <w:t xml:space="preserve">• Sentiment analysis of social media engagement to measure responsiveness to community concerns</w:t>
      </w:r>
    </w:p>
    <w:bookmarkEnd w:id="24"/>
    <w:bookmarkStart w:id="25" w:name="c.-comparative-policy-assessment-phase-3"/>
    <w:p>
      <w:pPr>
        <w:pStyle w:val="Heading3"/>
      </w:pPr>
      <w:r>
        <w:t xml:space="preserve">C. Comparative Policy Assessment (Phase 3)</w:t>
      </w:r>
    </w:p>
    <w:p>
      <w:pPr>
        <w:pStyle w:val="FirstParagraph"/>
      </w:pPr>
      <w:r>
        <w:t xml:space="preserve">Compare Miami's governance approaches with peer cities facing similar challenges (e.g., New Orleans, Tampa, Fort Lauderdale) to identify transferable leadership models for the</w:t>
      </w:r>
      <w:r>
        <w:t xml:space="preserve"> </w:t>
      </w:r>
      <w:r>
        <w:rPr>
          <w:iCs/>
          <w:i/>
        </w:rPr>
        <w:t xml:space="preserve">United States Miami</w:t>
      </w:r>
      <w:r>
        <w:t xml:space="preserve"> </w:t>
      </w:r>
      <w:r>
        <w:t xml:space="preserve">context.</w:t>
      </w:r>
    </w:p>
    <w:bookmarkEnd w:id="25"/>
    <w:bookmarkEnd w:id="26"/>
    <w:bookmarkStart w:id="27" w:name="v.-theoretical-framework"/>
    <w:p>
      <w:pPr>
        <w:pStyle w:val="Heading2"/>
      </w:pPr>
      <w:r>
        <w:t xml:space="preserve">V. Theoretical Framework</w:t>
      </w:r>
    </w:p>
    <w:p>
      <w:pPr>
        <w:pStyle w:val="FirstParagraph"/>
      </w:pPr>
      <w:r>
        <w:t xml:space="preserve">This research is anchored in three interconnected theories:</w:t>
      </w:r>
      <w:r>
        <w:t xml:space="preserve"> </w:t>
      </w:r>
      <w:r>
        <w:t xml:space="preserve">•</w:t>
      </w:r>
      <w:r>
        <w:t xml:space="preserve"> </w:t>
      </w:r>
      <w:r>
        <w:rPr>
          <w:iCs/>
          <w:i/>
        </w:rPr>
        <w:t xml:space="preserve">Cultural Hybridity Theory</w:t>
      </w:r>
      <w:r>
        <w:t xml:space="preserve">: Examining how politicians synthesize multiple cultural identities to build coalitions</w:t>
      </w:r>
      <w:r>
        <w:t xml:space="preserve"> </w:t>
      </w:r>
      <w:r>
        <w:t xml:space="preserve">•</w:t>
      </w:r>
      <w:r>
        <w:t xml:space="preserve"> </w:t>
      </w:r>
      <w:r>
        <w:rPr>
          <w:iCs/>
          <w:i/>
        </w:rPr>
        <w:t xml:space="preserve">Urban Political Ecology</w:t>
      </w:r>
      <w:r>
        <w:t xml:space="preserve">: Analyzing climate policy as a product of power dynamics between developers, environmental activists, and marginalized communities</w:t>
      </w:r>
      <w:r>
        <w:t xml:space="preserve"> </w:t>
      </w:r>
      <w:r>
        <w:t xml:space="preserve">•</w:t>
      </w:r>
      <w:r>
        <w:t xml:space="preserve"> </w:t>
      </w:r>
      <w:r>
        <w:rPr>
          <w:iCs/>
          <w:i/>
        </w:rPr>
        <w:t xml:space="preserve">Neoliberal Governance Frameworks</w:t>
      </w:r>
      <w:r>
        <w:t xml:space="preserve">: Assessing how economic development rhetoric shapes political decision-making in tourism-centric economies</w:t>
      </w:r>
    </w:p>
    <w:bookmarkEnd w:id="27"/>
    <w:bookmarkStart w:id="28" w:name="vi.-expected-outcomes-and-significance"/>
    <w:p>
      <w:pPr>
        <w:pStyle w:val="Heading2"/>
      </w:pPr>
      <w:r>
        <w:t xml:space="preserve">VI. Expected Outcomes and Significance</w:t>
      </w:r>
    </w:p>
    <w:p>
      <w:pPr>
        <w:pStyle w:val="FirstParagraph"/>
      </w:pPr>
      <w:r>
        <w:t xml:space="preserve">We anticipate three transformative outcomes:</w:t>
      </w:r>
    </w:p>
    <w:p>
      <w:pPr>
        <w:numPr>
          <w:ilvl w:val="0"/>
          <w:numId w:val="1002"/>
        </w:numPr>
        <w:pStyle w:val="Compact"/>
      </w:pPr>
      <w:r>
        <w:rPr>
          <w:bCs/>
          <w:b/>
        </w:rPr>
        <w:t xml:space="preserve">A Miami Leadership Index:</w:t>
      </w:r>
      <w:r>
        <w:t xml:space="preserve"> </w:t>
      </w:r>
      <w:r>
        <w:t xml:space="preserve">A novel metric evaluating politicians' performance across cultural responsiveness, policy innovation, and crisis management—specifically designed for the Miami context.</w:t>
      </w:r>
    </w:p>
    <w:p>
      <w:pPr>
        <w:numPr>
          <w:ilvl w:val="0"/>
          <w:numId w:val="1002"/>
        </w:numPr>
        <w:pStyle w:val="Compact"/>
      </w:pPr>
      <w:r>
        <w:rPr>
          <w:bCs/>
          <w:b/>
        </w:rPr>
        <w:t xml:space="preserve">Equity-Integrated Policy Blueprint:</w:t>
      </w:r>
      <w:r>
        <w:t xml:space="preserve"> </w:t>
      </w:r>
      <w:r>
        <w:t xml:space="preserve">Actionable recommendations for climate adaptation policies that center marginalized communities, addressing the critical gap where 72% of flood-risk properties in Miami are in low-income neighborhoods (per 2023 Florida Climate Study).</w:t>
      </w:r>
    </w:p>
    <w:p>
      <w:pPr>
        <w:numPr>
          <w:ilvl w:val="0"/>
          <w:numId w:val="1002"/>
        </w:numPr>
        <w:pStyle w:val="Compact"/>
      </w:pPr>
      <w:r>
        <w:rPr>
          <w:bCs/>
          <w:b/>
        </w:rPr>
        <w:t xml:space="preserve">National Policy Transferability:</w:t>
      </w:r>
      <w:r>
        <w:t xml:space="preserve"> </w:t>
      </w:r>
      <w:r>
        <w:t xml:space="preserve">A framework showing how Miami's governance model could inform other U.S. coastal cities facing similar demographic and environmental pressures.</w:t>
      </w:r>
    </w:p>
    <w:p>
      <w:pPr>
        <w:pStyle w:val="FirstParagraph"/>
      </w:pPr>
      <w:r>
        <w:t xml:space="preserve">The significance of this work extends beyond academia. By illuminating how effective politicians in</w:t>
      </w:r>
      <w:r>
        <w:t xml:space="preserve"> </w:t>
      </w:r>
      <w:r>
        <w:rPr>
          <w:iCs/>
          <w:i/>
        </w:rPr>
        <w:t xml:space="preserve">United States Miami</w:t>
      </w:r>
      <w:r>
        <w:t xml:space="preserve"> </w:t>
      </w:r>
      <w:r>
        <w:t xml:space="preserve">balance competing demands—such as immigrant advocacy groups demanding stronger immigration protections while business coalitions push for economic growth—the study will provide concrete tools for strengthening democratic engagement. In an era where political polarization threatens civic cohesion, understanding Miami's leadership strategies offers a roadmap for inclusive governance that could serve as a national benchmark.</w:t>
      </w:r>
    </w:p>
    <w:bookmarkEnd w:id="28"/>
    <w:bookmarkStart w:id="29" w:name="vii.-ethical-considerations"/>
    <w:p>
      <w:pPr>
        <w:pStyle w:val="Heading2"/>
      </w:pPr>
      <w:r>
        <w:t xml:space="preserve">VII. Ethical Considerations</w:t>
      </w:r>
    </w:p>
    <w:p>
      <w:pPr>
        <w:pStyle w:val="FirstParagraph"/>
      </w:pPr>
      <w:r>
        <w:t xml:space="preserve">Research will adhere to strict ethical protocols:</w:t>
      </w:r>
      <w:r>
        <w:t xml:space="preserve"> </w:t>
      </w:r>
      <w:r>
        <w:t xml:space="preserve">• All interviews will undergo anonymization to protect political affiliations</w:t>
      </w:r>
      <w:r>
        <w:t xml:space="preserve"> </w:t>
      </w:r>
      <w:r>
        <w:t xml:space="preserve">• Community advisory boards composed of representatives from Haitian, Cuban, and Afro-Caribbean groups will guide research design</w:t>
      </w:r>
      <w:r>
        <w:t xml:space="preserve"> </w:t>
      </w:r>
      <w:r>
        <w:t xml:space="preserve">• Findings will be co-created with partner organizations like the Miami-Dade County Hispanic Chamber of Commerce and the Florida International University Urban Sustainability Center</w:t>
      </w:r>
    </w:p>
    <w:bookmarkEnd w:id="29"/>
    <w:bookmarkStart w:id="30" w:name="viii.-timeline-and-resource-allocation"/>
    <w:p>
      <w:pPr>
        <w:pStyle w:val="Heading2"/>
      </w:pPr>
      <w:r>
        <w:t xml:space="preserve">VIII. Timeline and Resource Allocation</w:t>
      </w:r>
    </w:p>
    <w:p>
      <w:pPr>
        <w:pStyle w:val="FirstParagraph"/>
      </w:pPr>
      <w:r>
        <w:t xml:space="preserve">Over 18 months, this project will deploy:</w:t>
      </w:r>
      <w:r>
        <w:t xml:space="preserve"> </w:t>
      </w:r>
      <w:r>
        <w:t xml:space="preserve">• Months 1-4: Literature review, IRB approval, and stakeholder mapping</w:t>
      </w:r>
      <w:r>
        <w:t xml:space="preserve"> </w:t>
      </w:r>
      <w:r>
        <w:t xml:space="preserve">• Months 5-10: Interview collection and initial data analysis</w:t>
      </w:r>
      <w:r>
        <w:t xml:space="preserve"> </w:t>
      </w:r>
      <w:r>
        <w:t xml:space="preserve">• Months 11-14: Quantitative data processing and comparative assessment</w:t>
      </w:r>
      <w:r>
        <w:t xml:space="preserve"> </w:t>
      </w:r>
      <w:r>
        <w:t xml:space="preserve">• Months 15-18: Policy report drafting with community validation workshops</w:t>
      </w:r>
    </w:p>
    <w:bookmarkEnd w:id="30"/>
    <w:bookmarkStart w:id="31" w:name="ix.-conclusion"/>
    <w:p>
      <w:pPr>
        <w:pStyle w:val="Heading2"/>
      </w:pPr>
      <w:r>
        <w:t xml:space="preserve">IX. Conclusion</w:t>
      </w:r>
    </w:p>
    <w:p>
      <w:pPr>
        <w:pStyle w:val="FirstParagraph"/>
      </w:pPr>
      <w:r>
        <w:t xml:space="preserve">The political trajectory of Miami is not merely a local concern—it is a barometer for America's evolving democratic challenges in an interconnected world. This</w:t>
      </w:r>
      <w:r>
        <w:t xml:space="preserve"> </w:t>
      </w:r>
      <w:r>
        <w:rPr>
          <w:iCs/>
          <w:i/>
        </w:rPr>
        <w:t xml:space="preserve">Research Proposal</w:t>
      </w:r>
      <w:r>
        <w:t xml:space="preserve"> </w:t>
      </w:r>
      <w:r>
        <w:t xml:space="preserve">positions the study of Miami's</w:t>
      </w:r>
      <w:r>
        <w:t xml:space="preserve"> </w:t>
      </w:r>
      <w:r>
        <w:rPr>
          <w:iCs/>
          <w:i/>
        </w:rPr>
        <w:t xml:space="preserve">Politician</w:t>
      </w:r>
      <w:r>
        <w:t xml:space="preserve">s as foundational to understanding how leaders can foster equitable progress amid demographic transformation and existential environmental threats. By centering the lived realities of South Florida, this investigation will generate knowledge that empowers elected officials to make decisions grounded in both data and human dignity. As Miami stands on the frontline of climate migration, economic transition, and cultural integration—three forces reshaping 21st-century America—the insights from this research will provide indispensable guidance for building a more resilient political system not just for</w:t>
      </w:r>
      <w:r>
        <w:t xml:space="preserve"> </w:t>
      </w:r>
      <w:r>
        <w:rPr>
          <w:iCs/>
          <w:i/>
        </w:rPr>
        <w:t xml:space="preserve">United States Miami</w:t>
      </w:r>
      <w:r>
        <w:t xml:space="preserve">, but across the nation.</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Dynamics in United States Miami</dc:title>
  <dc:creator/>
  <dc:language>en</dc:language>
  <cp:keywords/>
  <dcterms:created xsi:type="dcterms:W3CDTF">2026-07-23T23:24:10Z</dcterms:created>
  <dcterms:modified xsi:type="dcterms:W3CDTF">2026-07-23T23:24:10Z</dcterms:modified>
</cp:coreProperties>
</file>

<file path=docProps/custom.xml><?xml version="1.0" encoding="utf-8"?>
<Properties xmlns="http://schemas.openxmlformats.org/officeDocument/2006/custom-properties" xmlns:vt="http://schemas.openxmlformats.org/officeDocument/2006/docPropsVTypes"/>
</file>