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Venezuelan</w:t>
      </w:r>
      <w:r>
        <w:t xml:space="preserve"> </w:t>
      </w:r>
      <w:r>
        <w:t xml:space="preserve">Politicians</w:t>
      </w:r>
      <w:r>
        <w:t xml:space="preserve"> </w:t>
      </w:r>
      <w:r>
        <w:t xml:space="preserve">in</w:t>
      </w:r>
      <w:r>
        <w:t xml:space="preserve"> </w:t>
      </w:r>
      <w:r>
        <w:t xml:space="preserve">Caracas</w:t>
      </w:r>
    </w:p>
    <w:bookmarkStart w:id="29" w:name="Xbf1221a3df5df2a06937e67064c6f2ee21c03bf"/>
    <w:p>
      <w:pPr>
        <w:pStyle w:val="Heading1"/>
      </w:pPr>
      <w:r>
        <w:t xml:space="preserve">Research Proposal: Analyzing Contemporary Political Engagement and Governance Challenges of Politicians in Venezuela Caracas</w:t>
      </w:r>
    </w:p>
    <w:bookmarkStart w:id="20" w:name="introduction-and-background"/>
    <w:p>
      <w:pPr>
        <w:pStyle w:val="Heading2"/>
      </w:pPr>
      <w:r>
        <w:t xml:space="preserve">1. Introduction and Background</w:t>
      </w:r>
    </w:p>
    <w:p>
      <w:pPr>
        <w:pStyle w:val="FirstParagraph"/>
      </w:pPr>
      <w:r>
        <w:t xml:space="preserve">The political landscape of Venezuela has undergone profound transformation since the early 2000s, with Caracas serving as the epicenter of national governance, economic policy formulation, and social mobilization. As the capital city housing all major governmental institutions—including the National Assembly, Supreme Tribunal of Justice, and executive offices—the urban environment of Caracas presents a unique microcosm for studying political behavior under conditions of economic crisis, institutional fragmentation, and socio-political polarization. This</w:t>
      </w:r>
      <w:r>
        <w:t xml:space="preserve"> </w:t>
      </w:r>
      <w:r>
        <w:rPr>
          <w:bCs/>
          <w:b/>
        </w:rPr>
        <w:t xml:space="preserve">Research Proposal</w:t>
      </w:r>
      <w:r>
        <w:t xml:space="preserve"> </w:t>
      </w:r>
      <w:r>
        <w:t xml:space="preserve">specifically addresses the critical gap in understanding how contemporary</w:t>
      </w:r>
      <w:r>
        <w:t xml:space="preserve"> </w:t>
      </w:r>
      <w:r>
        <w:rPr>
          <w:bCs/>
          <w:b/>
        </w:rPr>
        <w:t xml:space="preserve">Politician</w:t>
      </w:r>
      <w:r>
        <w:t xml:space="preserve">s navigate governance challenges within Venezuela Caracas amid hyperinflation, resource scarcity, and shifting public trust. The study responds to urgent needs for evidence-based policy interventions that could stabilize democratic institutions and improve service delivery in the nation's most politically significant urban center.</w:t>
      </w:r>
    </w:p>
    <w:bookmarkEnd w:id="20"/>
    <w:bookmarkStart w:id="21" w:name="problem-statement"/>
    <w:p>
      <w:pPr>
        <w:pStyle w:val="Heading2"/>
      </w:pPr>
      <w:r>
        <w:t xml:space="preserve">2. Problem Statement</w:t>
      </w:r>
    </w:p>
    <w:p>
      <w:pPr>
        <w:pStyle w:val="FirstParagraph"/>
      </w:pPr>
      <w:r>
        <w:t xml:space="preserve">Despite Venezuela's constitutional framework guaranteeing representative democracy, Caracas has witnessed deteriorating trust in elected officials since 2014. Key issues include: (1) declining voter turnout in municipal elections (&lt;50% in 2021), (2) widespread public perception of political corruption among local leaders, and (3) institutional paralysis between opposition-controlled mayoral offices and the central government. A 2023 Afrobarometer survey revealed that 78% of Caracas residents believe</w:t>
      </w:r>
      <w:r>
        <w:t xml:space="preserve"> </w:t>
      </w:r>
      <w:r>
        <w:rPr>
          <w:bCs/>
          <w:b/>
        </w:rPr>
        <w:t xml:space="preserve">Politician</w:t>
      </w:r>
      <w:r>
        <w:t xml:space="preserve">s prioritize personal gain over community welfare. This research directly confronts the urgent question: *How do Venezuelan politicians in Caracas adapt their governance strategies amid systemic economic collapse, and what impact do these adaptations have on civic participation and institutional legitimacy?* Without empirical analysis of this dynamic, policy solutions remain fragmented and disconnected from ground realities.</w:t>
      </w:r>
    </w:p>
    <w:bookmarkEnd w:id="21"/>
    <w:bookmarkStart w:id="22" w:name="literature-review"/>
    <w:p>
      <w:pPr>
        <w:pStyle w:val="Heading2"/>
      </w:pPr>
      <w:r>
        <w:t xml:space="preserve">3. Literature Review</w:t>
      </w:r>
    </w:p>
    <w:p>
      <w:pPr>
        <w:pStyle w:val="FirstParagraph"/>
      </w:pPr>
      <w:r>
        <w:t xml:space="preserve">Existing scholarship on Venezuelan politics predominantly focuses on national-level actors (e.g., Chávez’s Bolivarian Revolution) or economic indicators (López, 2019), neglecting granular studies of municipal governance in Caracas. While Vázquez and Ramírez (2021) examined party discipline in the National Assembly, their work omitted grassroots political behavior. Similarly, literature on "clientelism" (Santos, 2020) fails to address how digital communication tools (e.g., WhatsApp groups used by Caracas councilors) have transformed patronage networks in crisis contexts. This</w:t>
      </w:r>
      <w:r>
        <w:t xml:space="preserve"> </w:t>
      </w:r>
      <w:r>
        <w:rPr>
          <w:bCs/>
          <w:b/>
        </w:rPr>
        <w:t xml:space="preserve">Research Proposal</w:t>
      </w:r>
      <w:r>
        <w:t xml:space="preserve"> </w:t>
      </w:r>
      <w:r>
        <w:t xml:space="preserve">bridges these gaps by centering on the lived experiences of politicians operating within Caracas’ unique socio-spatial constraints—where 30% of the population lives in informal settlements lacking basic services, directly influencing political tactics.</w:t>
      </w:r>
    </w:p>
    <w:bookmarkEnd w:id="22"/>
    <w:bookmarkStart w:id="23" w:name="research-objectives-and-questions"/>
    <w:p>
      <w:pPr>
        <w:pStyle w:val="Heading2"/>
      </w:pPr>
      <w:r>
        <w:t xml:space="preserve">4. Research Objectives and Questions</w:t>
      </w:r>
    </w:p>
    <w:p>
      <w:pPr>
        <w:pStyle w:val="FirstParagraph"/>
      </w:pPr>
      <w:r>
        <w:t xml:space="preserve">This study seeks to achieve three interconnected objectives:</w:t>
      </w:r>
    </w:p>
    <w:p>
      <w:pPr>
        <w:numPr>
          <w:ilvl w:val="0"/>
          <w:numId w:val="1001"/>
        </w:numPr>
        <w:pStyle w:val="Compact"/>
      </w:pPr>
      <w:r>
        <w:rPr>
          <w:bCs/>
          <w:b/>
        </w:rPr>
        <w:t xml:space="preserve">Map institutional adaptation strategies</w:t>
      </w:r>
      <w:r>
        <w:t xml:space="preserve">: Document how Caracas-based politicians modify governance approaches (e.g., emergency food distribution, public safety coordination) in response to municipal budget cuts.</w:t>
      </w:r>
    </w:p>
    <w:p>
      <w:pPr>
        <w:numPr>
          <w:ilvl w:val="0"/>
          <w:numId w:val="1001"/>
        </w:numPr>
        <w:pStyle w:val="Compact"/>
      </w:pPr>
      <w:r>
        <w:rPr>
          <w:bCs/>
          <w:b/>
        </w:rPr>
        <w:t xml:space="preserve">Analyze citizen-politician trust dynamics</w:t>
      </w:r>
      <w:r>
        <w:t xml:space="preserve">: Assess the correlation between policy outcomes and resident perceptions of political accountability in 10 high-need neighborhoods.</w:t>
      </w:r>
    </w:p>
    <w:p>
      <w:pPr>
        <w:numPr>
          <w:ilvl w:val="0"/>
          <w:numId w:val="1001"/>
        </w:numPr>
        <w:pStyle w:val="Compact"/>
      </w:pPr>
      <w:r>
        <w:rPr>
          <w:bCs/>
          <w:b/>
        </w:rPr>
        <w:t xml:space="preserve">Identify institutional leverage points</w:t>
      </w:r>
      <w:r>
        <w:t xml:space="preserve">: Determine which policy interventions (e.g., participatory budgeting, community councils) most effectively restore civic engagement among disaffected voters.</w:t>
      </w:r>
    </w:p>
    <w:p>
      <w:pPr>
        <w:pStyle w:val="FirstParagraph"/>
      </w:pPr>
      <w:r>
        <w:t xml:space="preserve">The primary research question guiding this work is: *How do Venezuelan politicians in Caracas reconcile conflicting pressures from national party mandates, local resource constraints, and community demands to sustain governance legitimacy during prolonged crisis?*</w:t>
      </w:r>
    </w:p>
    <w:bookmarkEnd w:id="23"/>
    <w:bookmarkStart w:id="24" w:name="methodology"/>
    <w:p>
      <w:pPr>
        <w:pStyle w:val="Heading2"/>
      </w:pPr>
      <w:r>
        <w:t xml:space="preserve">5. Methodology</w:t>
      </w:r>
    </w:p>
    <w:p>
      <w:pPr>
        <w:pStyle w:val="FirstParagraph"/>
      </w:pPr>
      <w:r>
        <w:t xml:space="preserve">A mixed-methods design will be employed across 18 months:</w:t>
      </w:r>
    </w:p>
    <w:p>
      <w:pPr>
        <w:numPr>
          <w:ilvl w:val="0"/>
          <w:numId w:val="1002"/>
        </w:numPr>
        <w:pStyle w:val="Compact"/>
      </w:pPr>
      <w:r>
        <w:rPr>
          <w:bCs/>
          <w:b/>
        </w:rPr>
        <w:t xml:space="preserve">Qualitative Phase (Months 1–6)</w:t>
      </w:r>
      <w:r>
        <w:t xml:space="preserve">: In-depth interviews with 40 purposively selected politicians (including mayors, councilors, and party liaisons) from Caracas’ 23 municipalities. Analysis will focus on decision-making processes during crises like the 2023 electricity blackouts.</w:t>
      </w:r>
    </w:p>
    <w:p>
      <w:pPr>
        <w:numPr>
          <w:ilvl w:val="0"/>
          <w:numId w:val="1002"/>
        </w:numPr>
        <w:pStyle w:val="Compact"/>
      </w:pPr>
      <w:r>
        <w:rPr>
          <w:bCs/>
          <w:b/>
        </w:rPr>
        <w:t xml:space="preserve">Quantitative Phase (Months 7–14)</w:t>
      </w:r>
      <w:r>
        <w:t xml:space="preserve">: Household surveys across 500 households in high-migration districts (e.g., Petare, La Vega), measuring trust indicators, service access, and political participation. Regression analysis will test relationships between policy outcomes and citizen sentiment.</w:t>
      </w:r>
    </w:p>
    <w:p>
      <w:pPr>
        <w:numPr>
          <w:ilvl w:val="0"/>
          <w:numId w:val="1002"/>
        </w:numPr>
        <w:pStyle w:val="Compact"/>
      </w:pPr>
      <w:r>
        <w:rPr>
          <w:bCs/>
          <w:b/>
        </w:rPr>
        <w:t xml:space="preserve">Participatory Action Component (Months 15–18)</w:t>
      </w:r>
      <w:r>
        <w:t xml:space="preserve">: Co-designing governance workshops with politicians and community leaders to translate findings into actionable protocols for crisis-responsive urban management.</w:t>
      </w:r>
    </w:p>
    <w:p>
      <w:pPr>
        <w:pStyle w:val="FirstParagraph"/>
      </w:pPr>
      <w:r>
        <w:t xml:space="preserve">All fieldwork will comply with Venezuelan ethics regulations. Partnering with the Universidad Central de Venezuela’s Political Science Department ensures cultural competency and access to local networks. Data triangulation across multiple sources will mitigate bias in a context where political polarization affects survey responses.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Venezuela Caracas specifically:</w:t>
      </w:r>
    </w:p>
    <w:p>
      <w:pPr>
        <w:numPr>
          <w:ilvl w:val="0"/>
          <w:numId w:val="1003"/>
        </w:numPr>
        <w:pStyle w:val="Compact"/>
      </w:pPr>
      <w:r>
        <w:rPr>
          <w:bCs/>
          <w:b/>
        </w:rPr>
        <w:t xml:space="preserve">Policy Framework</w:t>
      </w:r>
      <w:r>
        <w:t xml:space="preserve">: A practical "Crisis Governance Toolkit" for local politicians, featuring templates for transparent resource allocation during shortages (e.g., rationing systems for medicine distribution).</w:t>
      </w:r>
    </w:p>
    <w:p>
      <w:pPr>
        <w:numPr>
          <w:ilvl w:val="0"/>
          <w:numId w:val="1003"/>
        </w:numPr>
        <w:pStyle w:val="Compact"/>
      </w:pPr>
      <w:r>
        <w:rPr>
          <w:bCs/>
          <w:b/>
        </w:rPr>
        <w:t xml:space="preserve">Academic Knowledge</w:t>
      </w:r>
      <w:r>
        <w:t xml:space="preserve">: The first empirical study documenting how urban politicians in Venezuela adapt governance models under systemic collapse—a model applicable to other Global South cities facing similar challenges.</w:t>
      </w:r>
    </w:p>
    <w:p>
      <w:pPr>
        <w:numPr>
          <w:ilvl w:val="0"/>
          <w:numId w:val="1003"/>
        </w:numPr>
        <w:pStyle w:val="Compact"/>
      </w:pPr>
      <w:r>
        <w:rPr>
          <w:bCs/>
          <w:b/>
        </w:rPr>
        <w:t xml:space="preserve">Social Impact</w:t>
      </w:r>
      <w:r>
        <w:t xml:space="preserve">: By centering residents' voices, the project will empower community councils to demand accountability, potentially reversing civic disengagement trends observed since 2019.</w:t>
      </w:r>
    </w:p>
    <w:p>
      <w:pPr>
        <w:pStyle w:val="FirstParagraph"/>
      </w:pPr>
      <w:r>
        <w:t xml:space="preserve">Crucially, findings will be disseminated via Caracas-based civil society platforms (e.g., Fundación para la Democracia) rather than academic journals alone, ensuring politicians and citizens directly benefit from insights. The study counters narratives of political irrelevance by demonstrating how localized strategies can rebuild trust even within fractured systems.</w:t>
      </w:r>
    </w:p>
    <w:bookmarkEnd w:id="25"/>
    <w:bookmarkStart w:id="26" w:name="timeline-and-resource-needs"/>
    <w:p>
      <w:pPr>
        <w:pStyle w:val="Heading2"/>
      </w:pPr>
      <w:r>
        <w:t xml:space="preserve">7. Timeline and Resource Needs</w:t>
      </w:r>
    </w:p>
    <w:p>
      <w:pPr>
        <w:pStyle w:val="FirstParagraph"/>
      </w:pPr>
      <w:r>
        <w:t xml:space="preserve">A 18-month timeline is proposed:</w:t>
      </w:r>
    </w:p>
    <w:p>
      <w:pPr>
        <w:numPr>
          <w:ilvl w:val="0"/>
          <w:numId w:val="1004"/>
        </w:numPr>
        <w:pStyle w:val="Compact"/>
      </w:pPr>
      <w:r>
        <w:rPr>
          <w:bCs/>
          <w:b/>
        </w:rPr>
        <w:t xml:space="preserve">Months 1–3</w:t>
      </w:r>
      <w:r>
        <w:t xml:space="preserve">: Ethics approval, instrument finalization, and team recruitment in Caracas.</w:t>
      </w:r>
    </w:p>
    <w:p>
      <w:pPr>
        <w:numPr>
          <w:ilvl w:val="0"/>
          <w:numId w:val="1004"/>
        </w:numPr>
        <w:pStyle w:val="Compact"/>
      </w:pPr>
      <w:r>
        <w:rPr>
          <w:bCs/>
          <w:b/>
        </w:rPr>
        <w:t xml:space="preserve">Months 4–9</w:t>
      </w:r>
      <w:r>
        <w:t xml:space="preserve">: Data collection (interviews/surveys) across designated districts.</w:t>
      </w:r>
    </w:p>
    <w:p>
      <w:pPr>
        <w:numPr>
          <w:ilvl w:val="0"/>
          <w:numId w:val="1004"/>
        </w:numPr>
        <w:pStyle w:val="Compact"/>
      </w:pPr>
      <w:r>
        <w:rPr>
          <w:bCs/>
          <w:b/>
        </w:rPr>
        <w:t xml:space="preserve">Months 10–15</w:t>
      </w:r>
      <w:r>
        <w:t xml:space="preserve">: Data analysis and draft report development with local stakeholders.</w:t>
      </w:r>
    </w:p>
    <w:p>
      <w:pPr>
        <w:numPr>
          <w:ilvl w:val="0"/>
          <w:numId w:val="1004"/>
        </w:numPr>
        <w:pStyle w:val="Compact"/>
      </w:pPr>
      <w:r>
        <w:rPr>
          <w:bCs/>
          <w:b/>
        </w:rPr>
        <w:t xml:space="preserve">Months 16–18</w:t>
      </w:r>
      <w:r>
        <w:t xml:space="preserve">: Workshop implementation, final report submission, and policy briefs for municipal offices.</w:t>
      </w:r>
    </w:p>
    <w:p>
      <w:pPr>
        <w:pStyle w:val="FirstParagraph"/>
      </w:pPr>
      <w:r>
        <w:t xml:space="preserve">Funding of $75,000 will cover researcher stipends (3 staff), transportation for field teams across Caracas’ challenging terrain, digital translation tools for marginalized communities, and workshop materials. All resources will be managed through the Universidad Central de Venezuela’s research office to ensure fiscal accountability.</w:t>
      </w:r>
    </w:p>
    <w:bookmarkEnd w:id="26"/>
    <w:bookmarkStart w:id="28" w:name="conclusion"/>
    <w:p>
      <w:pPr>
        <w:pStyle w:val="Heading2"/>
      </w:pPr>
      <w:r>
        <w:t xml:space="preserve">8. Conclusion</w:t>
      </w:r>
    </w:p>
    <w:p>
      <w:pPr>
        <w:pStyle w:val="FirstParagraph"/>
      </w:pPr>
      <w:r>
        <w:t xml:space="preserve">In a Venezuela where political engagement is increasingly viewed as futile by many citizens, this</w:t>
      </w:r>
      <w:r>
        <w:t xml:space="preserve"> </w:t>
      </w:r>
      <w:r>
        <w:rPr>
          <w:bCs/>
          <w:b/>
        </w:rPr>
        <w:t xml:space="preserve">Research Proposal</w:t>
      </w:r>
      <w:r>
        <w:t xml:space="preserve"> </w:t>
      </w:r>
      <w:r>
        <w:t xml:space="preserve">offers a pathway toward reimagining the role of the</w:t>
      </w:r>
      <w:r>
        <w:t xml:space="preserve"> </w:t>
      </w:r>
      <w:r>
        <w:rPr>
          <w:bCs/>
          <w:b/>
        </w:rPr>
        <w:t xml:space="preserve">Politician</w:t>
      </w:r>
      <w:r>
        <w:t xml:space="preserve"> </w:t>
      </w:r>
      <w:r>
        <w:t xml:space="preserve">in Caracas—not as an abstract institution but as a dynamic actor embedded within neighborhood realities. By grounding analysis in Caracas’ streets and homes, the study confronts Venezuela’s political crisis through solutions that prioritize local context over ideological dogma. The outcomes will serve not only Venezuelan policymakers but also global urban studies, demonstrating how democratic resilience can be nurtured amid extreme adversity. Ultimately, this research aims to prove that in Venezuela Caracas—despite its challenges—the relationship between politician and citizen remains the most potent catalyst for sustainable recovery.</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of Venezuelan Politicians in Caracas</dc:title>
  <dc:creator/>
  <dc:language>en</dc:language>
  <cp:keywords/>
  <dcterms:created xsi:type="dcterms:W3CDTF">2026-07-23T18:20:59Z</dcterms:created>
  <dcterms:modified xsi:type="dcterms:W3CDTF">2026-07-23T18:20:59Z</dcterms:modified>
</cp:coreProperties>
</file>

<file path=docProps/custom.xml><?xml version="1.0" encoding="utf-8"?>
<Properties xmlns="http://schemas.openxmlformats.org/officeDocument/2006/custom-properties" xmlns:vt="http://schemas.openxmlformats.org/officeDocument/2006/docPropsVTypes"/>
</file>