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Intelligence</w:t>
      </w:r>
      <w:r>
        <w:t xml:space="preserve"> </w:t>
      </w:r>
      <w:r>
        <w:t xml:space="preserve">through</w:t>
      </w:r>
      <w:r>
        <w:t xml:space="preserve"> </w:t>
      </w:r>
      <w:r>
        <w:t xml:space="preserve">AI</w:t>
      </w:r>
      <w:r>
        <w:t xml:space="preserve"> </w:t>
      </w:r>
      <w:r>
        <w:t xml:space="preserve">in</w:t>
      </w:r>
      <w:r>
        <w:t xml:space="preserve"> </w:t>
      </w:r>
      <w:r>
        <w:t xml:space="preserve">China</w:t>
      </w:r>
      <w:r>
        <w:t xml:space="preserve"> </w:t>
      </w:r>
      <w:r>
        <w:t xml:space="preserve">Guangzhou</w:t>
      </w:r>
    </w:p>
    <w:bookmarkStart w:id="28" w:name="X4813dfdca37b687675febf8386adc43e86fb25e"/>
    <w:p>
      <w:pPr>
        <w:pStyle w:val="Heading1"/>
      </w:pPr>
      <w:r>
        <w:t xml:space="preserve">Research Proposal: Integrating Artificial Intelligence for Sustainable Urban Development in China Guangzhou</w:t>
      </w:r>
    </w:p>
    <w:bookmarkStart w:id="20" w:name="executive-summary"/>
    <w:p>
      <w:pPr>
        <w:pStyle w:val="Heading2"/>
      </w:pPr>
      <w:r>
        <w:t xml:space="preserve">Executive Summary</w:t>
      </w:r>
    </w:p>
    <w:p>
      <w:pPr>
        <w:pStyle w:val="FirstParagraph"/>
      </w:pPr>
      <w:r>
        <w:t xml:space="preserve">This comprehensive Research Proposal outlines a transformative initiative to position a distinguished Professor as the intellectual anchor for cutting-edge research on AI-driven sustainable urban systems within Guangzhou, China. As one of the most dynamic economic hubs in southern China and a core city of the Guangdong-Hong Kong-Macao Greater Bay Area, Guangzhou presents an unparalleled laboratory for addressing critical urban challenges. This proposal details a 4-year research program designed to leverage artificial intelligence (AI) for optimizing resource management, enhancing environmental resilience, and fostering inclusive growth—directly aligning with China's national "Dual Carbon" goals and Guangzhou's Smart City 2035 strategy. The role of the appointed Professor is pivotal in establishing this research framework, securing strategic partnerships, and translating academic insights into actionable policies for China Guangzhou.</w:t>
      </w:r>
    </w:p>
    <w:bookmarkEnd w:id="20"/>
    <w:bookmarkStart w:id="21" w:name="Xd96015d6bfdb876568b4170f0b0f7c68540e35d"/>
    <w:p>
      <w:pPr>
        <w:pStyle w:val="Heading2"/>
      </w:pPr>
      <w:r>
        <w:t xml:space="preserve">Context: Why China Guangzhou Demands This Research</w:t>
      </w:r>
    </w:p>
    <w:p>
      <w:pPr>
        <w:pStyle w:val="FirstParagraph"/>
      </w:pPr>
      <w:r>
        <w:t xml:space="preserve">China Guangzhou stands at a crossroads of unprecedented urbanization. With a population exceeding 18 million and rapid industrial expansion, the city faces acute pressures on energy consumption, air quality, water security, and transportation efficiency. The Chinese government's emphasis on "New Infrastructure" (新基建) explicitly prioritizes AI integration into urban governance. Guangzhou's municipal authorities have committed significant resources to smart city projects along the Pearl River Delta; however, a cohesive, research-backed framework for scalable AI applications remains underdeveloped. This Research Proposal directly addresses this gap by positioning the Professor as a strategic asset to bridge academic innovation with Guangzhou's operational needs.</w:t>
      </w:r>
    </w:p>
    <w:bookmarkEnd w:id="21"/>
    <w:bookmarkStart w:id="22" w:name="research-objectives"/>
    <w:p>
      <w:pPr>
        <w:pStyle w:val="Heading2"/>
      </w:pPr>
      <w:r>
        <w:t xml:space="preserve">Research Objectives</w:t>
      </w:r>
    </w:p>
    <w:p>
      <w:pPr>
        <w:pStyle w:val="FirstParagraph"/>
      </w:pPr>
      <w:r>
        <w:t xml:space="preserve">The appointed Professor will spearhead this initiative with four core objectives:</w:t>
      </w:r>
    </w:p>
    <w:p>
      <w:pPr>
        <w:numPr>
          <w:ilvl w:val="0"/>
          <w:numId w:val="1001"/>
        </w:numPr>
        <w:pStyle w:val="Compact"/>
      </w:pPr>
      <w:r>
        <w:rPr>
          <w:bCs/>
          <w:b/>
        </w:rPr>
        <w:t xml:space="preserve">Develop AI-Driven Urban Resource Optimization Models:</w:t>
      </w:r>
      <w:r>
        <w:t xml:space="preserve"> </w:t>
      </w:r>
      <w:r>
        <w:t xml:space="preserve">Create adaptive algorithms for real-time energy grid management and water distribution networks, specifically calibrated for Guangzhou's subtropical climate and infrastructure aging challenges.</w:t>
      </w:r>
    </w:p>
    <w:p>
      <w:pPr>
        <w:numPr>
          <w:ilvl w:val="0"/>
          <w:numId w:val="1001"/>
        </w:numPr>
        <w:pStyle w:val="Compact"/>
      </w:pPr>
      <w:r>
        <w:rPr>
          <w:bCs/>
          <w:b/>
        </w:rPr>
        <w:t xml:space="preserve">Establish a City-Wide Environmental Intelligence Platform:</w:t>
      </w:r>
      <w:r>
        <w:t xml:space="preserve"> </w:t>
      </w:r>
      <w:r>
        <w:t xml:space="preserve">Integrate satellite imagery, IoT sensor data (air quality, traffic flow), and social media analytics to predict pollution hotspots and model emission reduction strategies aligned with China's carbon neutrality targets.</w:t>
      </w:r>
    </w:p>
    <w:p>
      <w:pPr>
        <w:numPr>
          <w:ilvl w:val="0"/>
          <w:numId w:val="1001"/>
        </w:numPr>
        <w:pStyle w:val="Compact"/>
      </w:pPr>
      <w:r>
        <w:rPr>
          <w:bCs/>
          <w:b/>
        </w:rPr>
        <w:t xml:space="preserve">Foster Community-Centric AI Solutions:</w:t>
      </w:r>
      <w:r>
        <w:t xml:space="preserve"> </w:t>
      </w:r>
      <w:r>
        <w:t xml:space="preserve">Co-design accessible digital tools for citizen engagement in urban planning through workshops with Guangzhou’s diverse communities, ensuring technology serves inclusive development goals.</w:t>
      </w:r>
    </w:p>
    <w:p>
      <w:pPr>
        <w:numPr>
          <w:ilvl w:val="0"/>
          <w:numId w:val="1001"/>
        </w:numPr>
        <w:pStyle w:val="Compact"/>
      </w:pPr>
      <w:r>
        <w:rPr>
          <w:bCs/>
          <w:b/>
        </w:rPr>
        <w:t xml:space="preserve">Generate Policy-Ready Frameworks for National Replication:</w:t>
      </w:r>
      <w:r>
        <w:t xml:space="preserve"> </w:t>
      </w:r>
      <w:r>
        <w:t xml:space="preserve">Produce evidence-based guidelines for scaling successful Guangzhou models to other major Chinese cities under the Ministry of Housing and Urban-Rural Development's smart city initiative.</w:t>
      </w:r>
    </w:p>
    <w:bookmarkEnd w:id="22"/>
    <w:bookmarkStart w:id="23" w:name="the-professor-catalyst-for-impact"/>
    <w:p>
      <w:pPr>
        <w:pStyle w:val="Heading2"/>
      </w:pPr>
      <w:r>
        <w:t xml:space="preserve">The Professor: Catalyst for Impact</w:t>
      </w:r>
    </w:p>
    <w:p>
      <w:pPr>
        <w:pStyle w:val="FirstParagraph"/>
      </w:pPr>
      <w:r>
        <w:t xml:space="preserve">The role transcends traditional academia. The appointed Professor will function as a strategic leader, directly accountable to both Guangzhou municipal stakeholders (e.g., Guangzhou Municipal Government Office of Smart City Development) and the host institution (e.g., Sun Yat-sen University or South China University of Technology). Responsibilities include:</w:t>
      </w:r>
    </w:p>
    <w:p>
      <w:pPr>
        <w:numPr>
          <w:ilvl w:val="0"/>
          <w:numId w:val="1002"/>
        </w:numPr>
        <w:pStyle w:val="Compact"/>
      </w:pPr>
      <w:r>
        <w:t xml:space="preserve">Leading a multidisciplinary team of 5 researchers, 3 PhD candidates, and 2 postdocs from engineering, environmental science, data ethics, and urban studies.</w:t>
      </w:r>
    </w:p>
    <w:p>
      <w:pPr>
        <w:numPr>
          <w:ilvl w:val="0"/>
          <w:numId w:val="1002"/>
        </w:numPr>
        <w:pStyle w:val="Compact"/>
      </w:pPr>
      <w:r>
        <w:t xml:space="preserve">Negotiating and managing industry partnerships with Guangzhou-based tech giants (e.g., Huawei Cloud Center Guangzhou) for real-world data access and pilot deployment.</w:t>
      </w:r>
    </w:p>
    <w:p>
      <w:pPr>
        <w:numPr>
          <w:ilvl w:val="0"/>
          <w:numId w:val="1002"/>
        </w:numPr>
        <w:pStyle w:val="Compact"/>
      </w:pPr>
      <w:r>
        <w:t xml:space="preserve">Hosting quarterly policy dialogues with the Guangdong Provincial Department of Ecology and Environment to ensure research directly informs regional planning.</w:t>
      </w:r>
    </w:p>
    <w:p>
      <w:pPr>
        <w:numPr>
          <w:ilvl w:val="0"/>
          <w:numId w:val="1002"/>
        </w:numPr>
        <w:pStyle w:val="Compact"/>
      </w:pPr>
      <w:r>
        <w:t xml:space="preserve">Developing a specialized graduate course in "Sustainable Urban AI" within China's national innovation ecosystem, attracting top talent from across Asia-Pacific.</w:t>
      </w:r>
    </w:p>
    <w:bookmarkEnd w:id="23"/>
    <w:bookmarkStart w:id="24" w:name="X88acee8e56e5d1f6acb629bf04383a93faa14d6"/>
    <w:p>
      <w:pPr>
        <w:pStyle w:val="Heading2"/>
      </w:pPr>
      <w:r>
        <w:t xml:space="preserve">Methodology: Grounded in China Guangzhou’s Reality</w:t>
      </w:r>
    </w:p>
    <w:p>
      <w:pPr>
        <w:pStyle w:val="FirstParagraph"/>
      </w:pPr>
      <w:r>
        <w:t xml:space="preserve">This Research Proposal employs a mixed-methods approach uniquely tailored to Guangzhou:</w:t>
      </w:r>
    </w:p>
    <w:p>
      <w:pPr>
        <w:numPr>
          <w:ilvl w:val="0"/>
          <w:numId w:val="1003"/>
        </w:numPr>
        <w:pStyle w:val="Compact"/>
      </w:pPr>
      <w:r>
        <w:rPr>
          <w:bCs/>
          <w:b/>
        </w:rPr>
        <w:t xml:space="preserve">Phase 1 (Months 1-12): Data Integration &amp; Baseline Mapping.</w:t>
      </w:r>
      <w:r>
        <w:t xml:space="preserve"> </w:t>
      </w:r>
      <w:r>
        <w:t xml:space="preserve">Partner with the Guangzhou Bureau of Statistics and Environmental Protection Agency to map current infrastructure vulnerabilities using geospatial AI. This establishes a "Digital Twin" of Guangzhou’s urban system for simulation.</w:t>
      </w:r>
    </w:p>
    <w:p>
      <w:pPr>
        <w:numPr>
          <w:ilvl w:val="0"/>
          <w:numId w:val="1003"/>
        </w:numPr>
        <w:pStyle w:val="Compact"/>
      </w:pPr>
      <w:r>
        <w:rPr>
          <w:bCs/>
          <w:b/>
        </w:rPr>
        <w:t xml:space="preserve">Phase 2 (Months 13-24): Model Development &amp; Ethical Safeguards.</w:t>
      </w:r>
      <w:r>
        <w:t xml:space="preserve"> </w:t>
      </w:r>
      <w:r>
        <w:t xml:space="preserve">Collaborate with the China Academy of Information and Communications Technology (CAICT) to build AI models, rigorously tested for bias mitigation—critical given Guangzhou’s diverse socioeconomic landscape and China's data governance regulations.</w:t>
      </w:r>
    </w:p>
    <w:p>
      <w:pPr>
        <w:numPr>
          <w:ilvl w:val="0"/>
          <w:numId w:val="1003"/>
        </w:numPr>
        <w:pStyle w:val="Compact"/>
      </w:pPr>
      <w:r>
        <w:rPr>
          <w:bCs/>
          <w:b/>
        </w:rPr>
        <w:t xml:space="preserve">Phase 3 (Months 25-36): Pilot Deployment &amp; Policy Integration.</w:t>
      </w:r>
      <w:r>
        <w:t xml:space="preserve"> </w:t>
      </w:r>
      <w:r>
        <w:t xml:space="preserve">Implement solutions in two Guangzhou districts (e.g., Yuexiu and Panyu), measuring energy savings, emissions reductions, and citizen satisfaction through mobile surveys. Results will be presented to the Guangzhou Municipal People’s Congress for policy adoption.</w:t>
      </w:r>
    </w:p>
    <w:bookmarkEnd w:id="24"/>
    <w:bookmarkStart w:id="25" w:name="Xa4629a19a5908b949e70df544bf9fc794c96982"/>
    <w:p>
      <w:pPr>
        <w:pStyle w:val="Heading2"/>
      </w:pPr>
      <w:r>
        <w:t xml:space="preserve">Expected Outcomes &amp; Impact for China Guangzhou</w:t>
      </w:r>
    </w:p>
    <w:p>
      <w:pPr>
        <w:pStyle w:val="FirstParagraph"/>
      </w:pPr>
      <w:r>
        <w:t xml:space="preserve">This Research Proposal promises transformative outcomes with direct relevance to China's national development priorities and Guangzhou's local ambitions:</w:t>
      </w:r>
    </w:p>
    <w:p>
      <w:pPr>
        <w:numPr>
          <w:ilvl w:val="0"/>
          <w:numId w:val="1004"/>
        </w:numPr>
        <w:pStyle w:val="Compact"/>
      </w:pPr>
      <w:r>
        <w:rPr>
          <w:bCs/>
          <w:b/>
        </w:rPr>
        <w:t xml:space="preserve">Immediate City Benefit:</w:t>
      </w:r>
      <w:r>
        <w:t xml:space="preserve"> </w:t>
      </w:r>
      <w:r>
        <w:t xml:space="preserve">A 15-20% reduction in energy waste within pilot districts by Year 3, directly supporting Guangzhou’s "Carbon Peak" target for 2030.</w:t>
      </w:r>
    </w:p>
    <w:p>
      <w:pPr>
        <w:numPr>
          <w:ilvl w:val="0"/>
          <w:numId w:val="1004"/>
        </w:numPr>
        <w:pStyle w:val="Compact"/>
      </w:pPr>
      <w:r>
        <w:rPr>
          <w:bCs/>
          <w:b/>
        </w:rPr>
        <w:t xml:space="preserve">National Leadership:</w:t>
      </w:r>
      <w:r>
        <w:t xml:space="preserve"> </w:t>
      </w:r>
      <w:r>
        <w:t xml:space="preserve">The research framework will be adopted as a national model under China's "Digital China" initiative, positioning Guangzhou as the AI governance benchmark city in southern China.</w:t>
      </w:r>
    </w:p>
    <w:p>
      <w:pPr>
        <w:numPr>
          <w:ilvl w:val="0"/>
          <w:numId w:val="1004"/>
        </w:numPr>
        <w:pStyle w:val="Compact"/>
      </w:pPr>
      <w:r>
        <w:rPr>
          <w:bCs/>
          <w:b/>
        </w:rPr>
        <w:t xml:space="preserve">Academic &amp; Economic Catalyst:</w:t>
      </w:r>
      <w:r>
        <w:t xml:space="preserve"> </w:t>
      </w:r>
      <w:r>
        <w:t xml:space="preserve">Creation of 10+ high-impact publications (including top-tier journals like</w:t>
      </w:r>
      <w:r>
        <w:t xml:space="preserve"> </w:t>
      </w:r>
      <w:r>
        <w:rPr>
          <w:iCs/>
          <w:i/>
        </w:rPr>
        <w:t xml:space="preserve">Nature Sustainability</w:t>
      </w:r>
      <w:r>
        <w:t xml:space="preserve">), while attracting R&amp;D investment from Chinese tech firms into Guangzhou's innovation clusters.</w:t>
      </w:r>
    </w:p>
    <w:p>
      <w:pPr>
        <w:numPr>
          <w:ilvl w:val="0"/>
          <w:numId w:val="1004"/>
        </w:numPr>
        <w:pStyle w:val="Compact"/>
      </w:pPr>
      <w:r>
        <w:rPr>
          <w:bCs/>
          <w:b/>
        </w:rPr>
        <w:t xml:space="preserve">Social Impact:</w:t>
      </w:r>
      <w:r>
        <w:t xml:space="preserve"> </w:t>
      </w:r>
      <w:r>
        <w:t xml:space="preserve">Enhanced public trust in AI-driven governance through transparent, community-involved solutions, addressing China's societal "trust gap" in emerging technologies.</w:t>
      </w:r>
    </w:p>
    <w:bookmarkEnd w:id="25"/>
    <w:bookmarkStart w:id="26" w:name="timeline-resource-requirements"/>
    <w:p>
      <w:pPr>
        <w:pStyle w:val="Heading2"/>
      </w:pPr>
      <w:r>
        <w:t xml:space="preserve">Timeline &amp; Resource Requirements</w:t>
      </w:r>
    </w:p>
    <w:p>
      <w:pPr>
        <w:pStyle w:val="FirstParagraph"/>
      </w:pPr>
      <w:r>
        <w:t xml:space="preserve">The Professor will secure a 4-year research grant of RMB 8.5 million (approx. USD $1.2 million), leveraging co-funding from Guangzhou’s Science and Technology Bureau (40%), industry partners (35%), and the host university (25%). A detailed year-by-year timeline ensures rapid, measurable progress toward Guangzhou-specific outcomes.</w:t>
      </w:r>
    </w:p>
    <w:bookmarkEnd w:id="26"/>
    <w:bookmarkStart w:id="27" w:name="conclusion"/>
    <w:p>
      <w:pPr>
        <w:pStyle w:val="Heading2"/>
      </w:pPr>
      <w:r>
        <w:t xml:space="preserve">Conclusion</w:t>
      </w:r>
    </w:p>
    <w:p>
      <w:pPr>
        <w:pStyle w:val="FirstParagraph"/>
      </w:pPr>
      <w:r>
        <w:t xml:space="preserve">This Research Proposal is not merely an academic exercise—it is a strategic investment in China Guangzhou's future as a model of sustainable, intelligent urbanization. By appointing a Professor who combines deep technical expertise with proven experience in China’s policy environment, this initiative guarantees that research directly serves the city's most pressing needs while advancing national innovation goals. The outcome will be tangible: cleaner air, more efficient infrastructure, and empowered citizens—delivering on Guangzhou’s vision of a "Smart City for All." This proposal represents the next critical step in positioning China Guangzhou as the undisputed leader in AI-powered urban sustainability across Asia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Intelligence through AI in China Guangzhou</dc:title>
  <dc:creator/>
  <dc:language>en</dc:language>
  <cp:keywords/>
  <dcterms:created xsi:type="dcterms:W3CDTF">2026-09-26T23:56:53Z</dcterms:created>
  <dcterms:modified xsi:type="dcterms:W3CDTF">2026-09-26T23:56:53Z</dcterms:modified>
</cp:coreProperties>
</file>

<file path=docProps/custom.xml><?xml version="1.0" encoding="utf-8"?>
<Properties xmlns="http://schemas.openxmlformats.org/officeDocument/2006/custom-properties" xmlns:vt="http://schemas.openxmlformats.org/officeDocument/2006/docPropsVTypes"/>
</file>