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Iran</w:t>
      </w:r>
      <w:r>
        <w:t xml:space="preserve"> </w:t>
      </w:r>
      <w:r>
        <w:t xml:space="preserve">Tehran</w:t>
      </w:r>
    </w:p>
    <w:bookmarkStart w:id="28" w:name="Xdc8d27c0006bf674334076d0ce9cfbdd6667bf7"/>
    <w:p>
      <w:pPr>
        <w:pStyle w:val="Heading1"/>
      </w:pPr>
      <w:r>
        <w:t xml:space="preserve">Research Proposal: Integrating Climate Resilience and Social Equity in Urban Planning for Iran Tehran</w:t>
      </w:r>
    </w:p>
    <w:p>
      <w:pPr>
        <w:pStyle w:val="FirstParagraph"/>
      </w:pPr>
      <w:r>
        <w:rPr>
          <w:bCs/>
          <w:b/>
        </w:rPr>
        <w:t xml:space="preserve">Prepared for:</w:t>
      </w:r>
      <w:r>
        <w:t xml:space="preserve"> </w:t>
      </w:r>
      <w:r>
        <w:t xml:space="preserve">The Office of Academic Affairs, University of Tehran &amp; Iranian National Science Foundation</w:t>
      </w:r>
      <w:r>
        <w:br/>
      </w:r>
      <w:r>
        <w:rPr>
          <w:bCs/>
          <w:b/>
        </w:rPr>
        <w:t xml:space="preserve">Submitted by:</w:t>
      </w:r>
      <w:r>
        <w:t xml:space="preserve"> </w:t>
      </w:r>
      <w:r>
        <w:t xml:space="preserve">Professor Dr. Amir Reza Hassanpour (Chair, Urban Sustainability Research Group)</w:t>
      </w:r>
      <w:r>
        <w:br/>
      </w:r>
      <w:r>
        <w:rPr>
          <w:bCs/>
          <w:b/>
        </w:rPr>
        <w:t xml:space="preserve">Date:</w:t>
      </w:r>
      <w:r>
        <w:t xml:space="preserve"> </w:t>
      </w:r>
      <w:r>
        <w:t xml:space="preserve">October 26, 2023</w:t>
      </w:r>
    </w:p>
    <w:bookmarkStart w:id="20" w:name="i.-executive-summary"/>
    <w:p>
      <w:pPr>
        <w:pStyle w:val="Heading2"/>
      </w:pPr>
      <w:r>
        <w:t xml:space="preserve">I. Executive Summary</w:t>
      </w:r>
    </w:p>
    <w:p>
      <w:pPr>
        <w:pStyle w:val="FirstParagraph"/>
      </w:pPr>
      <w:r>
        <w:t xml:space="preserve">This comprehensive Research Proposal outlines a groundbreaking five-year interdisciplinary project titled "Tehran Resilient Futures: Integrating Climate Adaptation and Social Equity in Urban Policy." As an inaugural initiative spearheaded by a distinguished Professor specializing in sustainable urban systems, this research directly addresses Iran Tehran's urgent challenges of water scarcity, rapid urbanization, and socio-spatial inequality. The proposal aligns with Iran's National Development Plan 2021-2031 and the UN Sustainable Development Goals (SDGs), positioning Tehran as a model for resilient cities across the Middle East. This project will be executed under the leadership of Professor Hassanpour at the University of Tehran, leveraging Tehran's unique urban fabric and institutional partnerships to generate actionable policies for Iran's most populous metropolis.</w:t>
      </w:r>
    </w:p>
    <w:bookmarkEnd w:id="20"/>
    <w:bookmarkStart w:id="21" w:name="Xd356f10f9618834977c6f1acdaa90902a05e86c"/>
    <w:p>
      <w:pPr>
        <w:pStyle w:val="Heading2"/>
      </w:pPr>
      <w:r>
        <w:t xml:space="preserve">II. Research Problem and Significance in Iran Tehran Context</w:t>
      </w:r>
    </w:p>
    <w:p>
      <w:pPr>
        <w:pStyle w:val="FirstParagraph"/>
      </w:pPr>
      <w:r>
        <w:t xml:space="preserve">Iran Tehran, home to over 15 million residents, faces a critical convergence of environmental vulnerability and social disparity. The city experiences severe water stress (with per capita availability below 1000 m³/year), acute air pollution (ranked among the world's most polluted capitals), and stark spatial segregation between affluent northern districts and marginalized southern neighborhoods. Current urban planning frameworks in Iran Tehran often prioritize infrastructure over equity, exacerbating climate risks for vulnerable populations. This Research Proposal addresses a critical gap: the lack of integrated, context-specific models that simultaneously tackle climate adaptation (e.g., drought mitigation, heat island reduction) and social inclusion in Iran's urban governance. The urgency is heightened by Tehran's vulnerability to earthquakes and its status as a national economic hub; failure to act threatens Iran's sustainable development trajectory.</w:t>
      </w:r>
    </w:p>
    <w:bookmarkEnd w:id="21"/>
    <w:bookmarkStart w:id="22" w:name="iii.-project-objectives"/>
    <w:p>
      <w:pPr>
        <w:pStyle w:val="Heading2"/>
      </w:pPr>
      <w:r>
        <w:t xml:space="preserve">III. Project Objectives</w:t>
      </w:r>
    </w:p>
    <w:p>
      <w:pPr>
        <w:numPr>
          <w:ilvl w:val="0"/>
          <w:numId w:val="1001"/>
        </w:numPr>
        <w:pStyle w:val="Compact"/>
      </w:pPr>
      <w:r>
        <w:rPr>
          <w:bCs/>
          <w:b/>
        </w:rPr>
        <w:t xml:space="preserve">Develop</w:t>
      </w:r>
      <w:r>
        <w:t xml:space="preserve"> </w:t>
      </w:r>
      <w:r>
        <w:t xml:space="preserve">the first comprehensive "Climate-Social Equity Index" for Tehran districts, quantifying vulnerability across environmental, infrastructural, and socio-demographic dimensions.</w:t>
      </w:r>
    </w:p>
    <w:p>
      <w:pPr>
        <w:numPr>
          <w:ilvl w:val="0"/>
          <w:numId w:val="1001"/>
        </w:numPr>
        <w:pStyle w:val="Compact"/>
      </w:pPr>
      <w:r>
        <w:rPr>
          <w:bCs/>
          <w:b/>
        </w:rPr>
        <w:t xml:space="preserve">Evaluate</w:t>
      </w:r>
      <w:r>
        <w:t xml:space="preserve"> </w:t>
      </w:r>
      <w:r>
        <w:t xml:space="preserve">the effectiveness of existing municipal policies (e.g., Tehran's 2020 Urban Greening Strategy) through participatory action research with local communities and municipality stakeholders in Iran Tehran.</w:t>
      </w:r>
    </w:p>
    <w:p>
      <w:pPr>
        <w:numPr>
          <w:ilvl w:val="0"/>
          <w:numId w:val="1001"/>
        </w:numPr>
        <w:pStyle w:val="Compact"/>
      </w:pPr>
      <w:r>
        <w:rPr>
          <w:bCs/>
          <w:b/>
        </w:rPr>
        <w:t xml:space="preserve">Co-create</w:t>
      </w:r>
      <w:r>
        <w:t xml:space="preserve"> </w:t>
      </w:r>
      <w:r>
        <w:t xml:space="preserve">evidence-based policy frameworks with the Tehran Metropolitan Municipality, ensuring integration into Iran's National Urban Development Program.</w:t>
      </w:r>
    </w:p>
    <w:p>
      <w:pPr>
        <w:numPr>
          <w:ilvl w:val="0"/>
          <w:numId w:val="1001"/>
        </w:numPr>
        <w:pStyle w:val="Compact"/>
      </w:pPr>
      <w:r>
        <w:rPr>
          <w:bCs/>
          <w:b/>
        </w:rPr>
        <w:t xml:space="preserve">Train</w:t>
      </w:r>
      <w:r>
        <w:t xml:space="preserve"> </w:t>
      </w:r>
      <w:r>
        <w:t xml:space="preserve">a new cohort of Iranian urban planners through a dedicated fellowship program, directly addressing the Professor's mandate to strengthen Iran's academic capacity in sustainability science.</w:t>
      </w:r>
    </w:p>
    <w:bookmarkEnd w:id="22"/>
    <w:bookmarkStart w:id="23" w:name="Xe8aba8085e0afd32704b4279a907e1dd1bf6217"/>
    <w:p>
      <w:pPr>
        <w:pStyle w:val="Heading2"/>
      </w:pPr>
      <w:r>
        <w:t xml:space="preserve">IV. Methodology: Contextualized for Iran Tehran</w:t>
      </w:r>
    </w:p>
    <w:p>
      <w:pPr>
        <w:pStyle w:val="FirstParagraph"/>
      </w:pPr>
      <w:r>
        <w:t xml:space="preserve">This mixed-methods research employs an innovative "Tehran-Specific Action-Research Cycle," designed explicitly for the city's governance structure and cultural context:</w:t>
      </w:r>
    </w:p>
    <w:p>
      <w:pPr>
        <w:numPr>
          <w:ilvl w:val="0"/>
          <w:numId w:val="1002"/>
        </w:numPr>
        <w:pStyle w:val="Compact"/>
      </w:pPr>
      <w:r>
        <w:rPr>
          <w:bCs/>
          <w:b/>
        </w:rPr>
        <w:t xml:space="preserve">Phase 1 (Year 1): Data Synthesis &amp; Community Mapping</w:t>
      </w:r>
      <w:r>
        <w:t xml:space="preserve"> </w:t>
      </w:r>
      <w:r>
        <w:t xml:space="preserve">– Collaborate with Tehran University's Urban Geography Department and the Center for Environmental Studies to integrate satellite data (MODIS, Sentinel-2), municipal water/air quality records, and participatory GIS workshops conducted in diverse neighborhoods (e.g., Shemiranat, Darvazeh Zagheh) to map socio-spatial vulnerabilities.</w:t>
      </w:r>
    </w:p>
    <w:p>
      <w:pPr>
        <w:numPr>
          <w:ilvl w:val="0"/>
          <w:numId w:val="1002"/>
        </w:numPr>
        <w:pStyle w:val="Compact"/>
      </w:pPr>
      <w:r>
        <w:rPr>
          <w:bCs/>
          <w:b/>
        </w:rPr>
        <w:t xml:space="preserve">Phase 2 (Year 2-3): Policy Simulation &amp; Co-Design Labs</w:t>
      </w:r>
      <w:r>
        <w:t xml:space="preserve"> </w:t>
      </w:r>
      <w:r>
        <w:t xml:space="preserve">– Utilize agent-based modeling calibrated with Tehran's unique urban morphology and climate projections. Partner with the Tehran Municipality's Urban Planning Department to host "Resilience Design Workshops" in community centers across Iran Tehran, ensuring marginalized voices directly shape policy proposals.</w:t>
      </w:r>
    </w:p>
    <w:p>
      <w:pPr>
        <w:numPr>
          <w:ilvl w:val="0"/>
          <w:numId w:val="1002"/>
        </w:numPr>
        <w:pStyle w:val="Compact"/>
      </w:pPr>
      <w:r>
        <w:rPr>
          <w:bCs/>
          <w:b/>
        </w:rPr>
        <w:t xml:space="preserve">Phase 3 (Year 4-5): Pilot Implementation &amp; National Scaling</w:t>
      </w:r>
      <w:r>
        <w:t xml:space="preserve"> </w:t>
      </w:r>
      <w:r>
        <w:t xml:space="preserve">– Test refined urban interventions (e.g., adaptive water-sensitive design for informal settlements, equity-focused green corridors) in three pilot districts. Document outcomes for adaptation into Iran's national urban policies by the Ministry of Roads and Urban Development.</w:t>
      </w:r>
    </w:p>
    <w:bookmarkEnd w:id="23"/>
    <w:bookmarkStart w:id="24" w:name="X500fafd9f1cff8c629f9ebdcda2bec75f1975a6"/>
    <w:p>
      <w:pPr>
        <w:pStyle w:val="Heading2"/>
      </w:pPr>
      <w:r>
        <w:t xml:space="preserve">V. Professor's Role &amp; Institutional Integration</w:t>
      </w:r>
    </w:p>
    <w:p>
      <w:pPr>
        <w:pStyle w:val="FirstParagraph"/>
      </w:pPr>
      <w:r>
        <w:t xml:space="preserve">The central leadership role of the Professor is pivotal to this proposal’s success and alignment with Iranian academic priorities:</w:t>
      </w:r>
    </w:p>
    <w:p>
      <w:pPr>
        <w:numPr>
          <w:ilvl w:val="0"/>
          <w:numId w:val="1003"/>
        </w:numPr>
        <w:pStyle w:val="Compact"/>
      </w:pPr>
      <w:r>
        <w:rPr>
          <w:bCs/>
          <w:b/>
        </w:rPr>
        <w:t xml:space="preserve">Academic Leadership:</w:t>
      </w:r>
      <w:r>
        <w:t xml:space="preserve"> </w:t>
      </w:r>
      <w:r>
        <w:t xml:space="preserve">As Chair of the Urban Sustainability Research Group at University of Tehran, the Professor will mentor postgraduate students (MSc/PhD), ensuring Iranian scholars drive all research outputs.</w:t>
      </w:r>
    </w:p>
    <w:p>
      <w:pPr>
        <w:numPr>
          <w:ilvl w:val="0"/>
          <w:numId w:val="1003"/>
        </w:numPr>
        <w:pStyle w:val="Compact"/>
      </w:pPr>
      <w:r>
        <w:rPr>
          <w:bCs/>
          <w:b/>
        </w:rPr>
        <w:t xml:space="preserve">Institutional Bridge:</w:t>
      </w:r>
      <w:r>
        <w:t xml:space="preserve"> </w:t>
      </w:r>
      <w:r>
        <w:t xml:space="preserve">Leverage established ties with Iran’s Ministry of Health (for air quality data) and the National Center for Urban Development to guarantee policy uptake within Iran's governance ecosystem.</w:t>
      </w:r>
    </w:p>
    <w:p>
      <w:pPr>
        <w:numPr>
          <w:ilvl w:val="0"/>
          <w:numId w:val="1003"/>
        </w:numPr>
        <w:pStyle w:val="Compact"/>
      </w:pPr>
      <w:r>
        <w:rPr>
          <w:bCs/>
          <w:b/>
        </w:rPr>
        <w:t xml:space="preserve">National Capacity Building:</w:t>
      </w:r>
      <w:r>
        <w:t xml:space="preserve"> </w:t>
      </w:r>
      <w:r>
        <w:t xml:space="preserve">The Professor will design and deliver a mandatory "Urban Resilience" module for Iran's National Training Program for Municipal Officials, directly linking research findings to national human resource development goals.</w:t>
      </w:r>
    </w:p>
    <w:bookmarkEnd w:id="24"/>
    <w:bookmarkStart w:id="25" w:name="X3b249d51f94467eb2c2fca7192ca3c6bc4dc821"/>
    <w:p>
      <w:pPr>
        <w:pStyle w:val="Heading2"/>
      </w:pPr>
      <w:r>
        <w:t xml:space="preserve">VI. Expected Impact on Iran Tehran and Beyond</w:t>
      </w:r>
    </w:p>
    <w:p>
      <w:pPr>
        <w:pStyle w:val="FirstParagraph"/>
      </w:pPr>
      <w:r>
        <w:t xml:space="preserve">This Research Proposal promises transformative outcomes that extend beyond academia:</w:t>
      </w:r>
    </w:p>
    <w:p>
      <w:pPr>
        <w:numPr>
          <w:ilvl w:val="0"/>
          <w:numId w:val="1004"/>
        </w:numPr>
        <w:pStyle w:val="Compact"/>
      </w:pPr>
      <w:r>
        <w:rPr>
          <w:bCs/>
          <w:b/>
        </w:rPr>
        <w:t xml:space="preserve">For Tehran:</w:t>
      </w:r>
      <w:r>
        <w:t xml:space="preserve"> </w:t>
      </w:r>
      <w:r>
        <w:t xml:space="preserve">A validated, city-specific framework to reduce climate-related health risks (e.g., heatstroke in low-income districts) by 30% within five years, alongside improved water security for 250,000 residents through community-managed greywater systems.</w:t>
      </w:r>
    </w:p>
    <w:p>
      <w:pPr>
        <w:numPr>
          <w:ilvl w:val="0"/>
          <w:numId w:val="1004"/>
        </w:numPr>
        <w:pStyle w:val="Compact"/>
      </w:pPr>
      <w:r>
        <w:rPr>
          <w:bCs/>
          <w:b/>
        </w:rPr>
        <w:t xml:space="preserve">For Iran:</w:t>
      </w:r>
      <w:r>
        <w:t xml:space="preserve"> </w:t>
      </w:r>
      <w:r>
        <w:t xml:space="preserve">The "Climate-Social Equity Index" will become a standard tool for all major Iranian cities (Isfahan, Shiraz), directly supporting Iran's commitment to the Paris Agreement. This positions Professor Hassanpour as a national thought leader in sustainable urbanism within Iran’s academic landscape.</w:t>
      </w:r>
    </w:p>
    <w:p>
      <w:pPr>
        <w:numPr>
          <w:ilvl w:val="0"/>
          <w:numId w:val="1004"/>
        </w:numPr>
        <w:pStyle w:val="Compact"/>
      </w:pPr>
      <w:r>
        <w:rPr>
          <w:bCs/>
          <w:b/>
        </w:rPr>
        <w:t xml:space="preserve">For Global South:</w:t>
      </w:r>
      <w:r>
        <w:t xml:space="preserve"> </w:t>
      </w:r>
      <w:r>
        <w:t xml:space="preserve">Tehran's model of integrating equity into climate adaptation offers lessons for megacities facing similar challenges (e.g., Delhi, Lagos), with research outputs disseminated through the International Association of Urban Affairs.</w:t>
      </w:r>
    </w:p>
    <w:bookmarkEnd w:id="25"/>
    <w:bookmarkStart w:id="26" w:name="X2cdc17ac68c2d9e175ab31aefb7af35e33d5d49"/>
    <w:p>
      <w:pPr>
        <w:pStyle w:val="Heading2"/>
      </w:pPr>
      <w:r>
        <w:t xml:space="preserve">VII. Budget Overview &amp; Resource Mobilization</w:t>
      </w:r>
    </w:p>
    <w:p>
      <w:pPr>
        <w:pStyle w:val="FirstParagraph"/>
      </w:pPr>
      <w:r>
        <w:t xml:space="preserve">Requesting 15 billion IRR from the Iranian National Science Foundation (INSF) for Years 1-3, complemented by in-kind support from University of Tehran (laboratory access, administrative staff) and co-funding from Tehran Municipality (field data access). The budget prioritizes local procurement and Iranian research assistants, ensuring minimal external dependency. All outputs will be published in open-access Iranian academic journals (e.g.,</w:t>
      </w:r>
      <w:r>
        <w:t xml:space="preserve"> </w:t>
      </w:r>
      <w:r>
        <w:rPr>
          <w:iCs/>
          <w:i/>
        </w:rPr>
        <w:t xml:space="preserve">Journal of Urban Studies of Iran</w:t>
      </w:r>
      <w:r>
        <w:t xml:space="preserve">) to maximize national impact.</w:t>
      </w:r>
    </w:p>
    <w:bookmarkEnd w:id="26"/>
    <w:bookmarkStart w:id="27" w:name="X7a5eac4eee9261c90d2e36f0bb484f22d29c59e"/>
    <w:p>
      <w:pPr>
        <w:pStyle w:val="Heading2"/>
      </w:pPr>
      <w:r>
        <w:t xml:space="preserve">VIII. Conclusion: A Catalyst for Tehran's Sustainable Future</w:t>
      </w:r>
    </w:p>
    <w:p>
      <w:pPr>
        <w:pStyle w:val="FirstParagraph"/>
      </w:pPr>
      <w:r>
        <w:t xml:space="preserve">This Research Proposal transcends conventional academic inquiry by embedding the Professor's leadership within Iran Tehran’s real-world governance and community dynamics. It directly responds to the urgent call from Iranian policymakers, as articulated in the 14th National Development Plan, for research that delivers tangible solutions to urban crises. By centering Tehran’s unique socio-ecological challenges and empowering Iranian scholars through a locally led process, this project will establish a replicable model for sustainable urban development across Iran. The Professor’s commitment to ethical, participatory research ensures that Tehran—not just as a case study, but as an active co-designer—will emerge as a global beacon of equitable climate resilience. This is not merely a Research Proposal; it is the foundation for redefining what resilient cities mean in the context of Iran Tehran and beyond.</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Development in Iran Tehran</dc:title>
  <dc:creator/>
  <dc:language>en</dc:language>
  <cp:keywords/>
  <dcterms:created xsi:type="dcterms:W3CDTF">2026-04-28T00:12:41Z</dcterms:created>
  <dcterms:modified xsi:type="dcterms:W3CDTF">2026-04-28T00:12:41Z</dcterms:modified>
</cp:coreProperties>
</file>

<file path=docProps/custom.xml><?xml version="1.0" encoding="utf-8"?>
<Properties xmlns="http://schemas.openxmlformats.org/officeDocument/2006/custom-properties" xmlns:vt="http://schemas.openxmlformats.org/officeDocument/2006/docPropsVTypes"/>
</file>