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8" w:name="X02d41c079143b6c185f7fce64ddc62c64c82f64"/>
    <w:p>
      <w:pPr>
        <w:pStyle w:val="Heading1"/>
      </w:pPr>
      <w:r>
        <w:t xml:space="preserve">Research Proposal for Professor Position in Sustainable Urban Development at Almaty-based Institution</w:t>
      </w:r>
    </w:p>
    <w:p>
      <w:pPr>
        <w:pStyle w:val="FirstParagraph"/>
      </w:pPr>
      <w:r>
        <w:t xml:space="preserve">Submitted by Dr. Aisha Kairbayeva, Candidate for Professorship in Environmental Science &amp; Urban Planning</w:t>
      </w:r>
    </w:p>
    <w:bookmarkStart w:id="20" w:name="introduction-and-contextual-significance"/>
    <w:p>
      <w:pPr>
        <w:pStyle w:val="Heading2"/>
      </w:pPr>
      <w:r>
        <w:t xml:space="preserve">1. Introduction and Contextual Significance</w:t>
      </w:r>
    </w:p>
    <w:p>
      <w:pPr>
        <w:pStyle w:val="FirstParagraph"/>
      </w:pPr>
      <w:r>
        <w:t xml:space="preserve">This comprehensive Research Proposal outlines a transformative academic initiative designed specifically for the dynamic urban landscape of Kazakhstan Almaty. As Kazakhstan's economic and cultural capital, Almaty faces unprecedented challenges in sustainable development due to rapid urbanization, climate vulnerability, and infrastructure strain. The proposed research directly addresses these critical issues under the leadership of an appointed Professor who will anchor a dedicated research cluster at a leading university in Kazakhstan Almaty. This initiative transcends conventional academic inquiry by integrating local knowledge with global sustainability frameworks, positioning Almaty as a model for Central Asian urban resilience.</w:t>
      </w:r>
    </w:p>
    <w:bookmarkEnd w:id="20"/>
    <w:bookmarkStart w:id="21" w:name="X7198a3c486b6f0e1ece2fe56c99aadc8512b58c"/>
    <w:p>
      <w:pPr>
        <w:pStyle w:val="Heading2"/>
      </w:pPr>
      <w:r>
        <w:t xml:space="preserve">2. Problem Statement and Research Imperative</w:t>
      </w:r>
    </w:p>
    <w:p>
      <w:pPr>
        <w:pStyle w:val="FirstParagraph"/>
      </w:pPr>
      <w:r>
        <w:t xml:space="preserve">Almaty's population has grown by over 45% in the past two decades, yet its green infrastructure remains insufficient to manage environmental pressures. Current urban planning lacks integrated approaches to air quality management (with Almaty consistently ranking among the world's most polluted cities), waste reduction, and climate adaptation. Crucially, existing studies often overlook Kazakhstan's unique socio-geographic context – from the Tien Shan foothills' microclimates to culturally specific community engagement patterns. Without targeted research led by a dedicated Professor with expertise in both urban systems and Central Asian contexts, Almaty risks exacerbating environmental degradation while missing opportunities for green economic development. This gap necessitates an immediate, locally grounded Research Proposal that delivers actionable insights within the Kazakhstan Almaty ecosystem.</w:t>
      </w:r>
    </w:p>
    <w:bookmarkEnd w:id="21"/>
    <w:bookmarkStart w:id="22" w:name="core-research-objectives"/>
    <w:p>
      <w:pPr>
        <w:pStyle w:val="Heading2"/>
      </w:pPr>
      <w:r>
        <w:t xml:space="preserve">3. Core Research Objectives</w:t>
      </w:r>
    </w:p>
    <w:p>
      <w:pPr>
        <w:numPr>
          <w:ilvl w:val="0"/>
          <w:numId w:val="1001"/>
        </w:numPr>
        <w:pStyle w:val="Compact"/>
      </w:pPr>
      <w:r>
        <w:rPr>
          <w:bCs/>
          <w:b/>
        </w:rPr>
        <w:t xml:space="preserve">Quantify Environmental Stressors:</w:t>
      </w:r>
      <w:r>
        <w:t xml:space="preserve"> </w:t>
      </w:r>
      <w:r>
        <w:t xml:space="preserve">Map air pollution hotspots, water quality degradation, and heat island effects across Almaty's districts using AI-enhanced geospatial analysis.</w:t>
      </w:r>
    </w:p>
    <w:p>
      <w:pPr>
        <w:numPr>
          <w:ilvl w:val="0"/>
          <w:numId w:val="1001"/>
        </w:numPr>
        <w:pStyle w:val="Compact"/>
      </w:pPr>
      <w:r>
        <w:rPr>
          <w:bCs/>
          <w:b/>
        </w:rPr>
        <w:t xml:space="preserve">Co-Design Community-Led Solutions:</w:t>
      </w:r>
      <w:r>
        <w:t xml:space="preserve"> </w:t>
      </w:r>
      <w:r>
        <w:t xml:space="preserve">Establish participatory workshops with 15+ neighborhood associations to develop culturally appropriate green infrastructure models (e.g., vertical gardens in historic districts, waste-to-energy micro-plants).</w:t>
      </w:r>
    </w:p>
    <w:p>
      <w:pPr>
        <w:numPr>
          <w:ilvl w:val="0"/>
          <w:numId w:val="1001"/>
        </w:numPr>
        <w:pStyle w:val="Compact"/>
      </w:pPr>
      <w:r>
        <w:rPr>
          <w:bCs/>
          <w:b/>
        </w:rPr>
        <w:t xml:space="preserve">Economic Viability Assessment:</w:t>
      </w:r>
      <w:r>
        <w:t xml:space="preserve"> </w:t>
      </w:r>
      <w:r>
        <w:t xml:space="preserve">Analyze cost-benefit ratios of proposed interventions for municipal adoption, including job creation potential in Almaty's emerging green tech sector.</w:t>
      </w:r>
    </w:p>
    <w:p>
      <w:pPr>
        <w:numPr>
          <w:ilvl w:val="0"/>
          <w:numId w:val="1001"/>
        </w:numPr>
        <w:pStyle w:val="Compact"/>
      </w:pPr>
      <w:r>
        <w:rPr>
          <w:bCs/>
          <w:b/>
        </w:rPr>
        <w:t xml:space="preserve">National Policy Integration Framework:</w:t>
      </w:r>
      <w:r>
        <w:t xml:space="preserve"> </w:t>
      </w:r>
      <w:r>
        <w:t xml:space="preserve">Create a transferable toolkit for Kazakhstan's Ministry of Environmental Protection to scale successful Almaty models nationwide.</w:t>
      </w:r>
    </w:p>
    <w:bookmarkEnd w:id="22"/>
    <w:bookmarkStart w:id="23" w:name="Xee1012542f89b0872e0b3feaf22ab04782d841c"/>
    <w:p>
      <w:pPr>
        <w:pStyle w:val="Heading2"/>
      </w:pPr>
      <w:r>
        <w:t xml:space="preserve">4. Methodology: Localized, Action-Oriented Approach</w:t>
      </w:r>
    </w:p>
    <w:p>
      <w:pPr>
        <w:pStyle w:val="FirstParagraph"/>
      </w:pPr>
      <w:r>
        <w:t xml:space="preserve">Unlike conventional top-down research, this proposal employs a hybrid methodology designed for Kazakhstan Almaty's reality:</w:t>
      </w:r>
    </w:p>
    <w:p>
      <w:pPr>
        <w:numPr>
          <w:ilvl w:val="0"/>
          <w:numId w:val="1002"/>
        </w:numPr>
        <w:pStyle w:val="Compact"/>
      </w:pPr>
      <w:r>
        <w:rPr>
          <w:bCs/>
          <w:b/>
        </w:rPr>
        <w:t xml:space="preserve">Field-Centric Data Collection:</w:t>
      </w:r>
      <w:r>
        <w:t xml:space="preserve"> </w:t>
      </w:r>
      <w:r>
        <w:t xml:space="preserve">Deploy low-cost IoT sensors across 50+ sites in Almaty with local university students (leveraging Kazakhstan's growing STEM talent), focusing on areas like the Medeu Valley and Central Business District.</w:t>
      </w:r>
    </w:p>
    <w:p>
      <w:pPr>
        <w:numPr>
          <w:ilvl w:val="0"/>
          <w:numId w:val="1002"/>
        </w:numPr>
        <w:pStyle w:val="Compact"/>
      </w:pPr>
      <w:r>
        <w:rPr>
          <w:bCs/>
          <w:b/>
        </w:rPr>
        <w:t xml:space="preserve">Cultural Embeddedness:</w:t>
      </w:r>
      <w:r>
        <w:t xml:space="preserve"> </w:t>
      </w:r>
      <w:r>
        <w:t xml:space="preserve">Collaborate with Kazakh heritage organizations to ensure interventions respect nomadic traditions (e.g., incorporating traditional 'kosh' windbreak designs into modern urban planning).</w:t>
      </w:r>
    </w:p>
    <w:p>
      <w:pPr>
        <w:numPr>
          <w:ilvl w:val="0"/>
          <w:numId w:val="1002"/>
        </w:numPr>
        <w:pStyle w:val="Compact"/>
      </w:pPr>
      <w:r>
        <w:rPr>
          <w:bCs/>
          <w:b/>
        </w:rPr>
        <w:t xml:space="preserve">Stakeholder Integration:</w:t>
      </w:r>
      <w:r>
        <w:t xml:space="preserve"> </w:t>
      </w:r>
      <w:r>
        <w:t xml:space="preserve">Monthly policy dialogues with Almaty City Council, Astana-based environmental agencies, and local NGOs like "Green Kazakhstan" to maintain real-time relevance.</w:t>
      </w:r>
    </w:p>
    <w:bookmarkEnd w:id="23"/>
    <w:bookmarkStart w:id="24" w:name="expected-outcomes-and-regional-impact"/>
    <w:p>
      <w:pPr>
        <w:pStyle w:val="Heading2"/>
      </w:pPr>
      <w:r>
        <w:t xml:space="preserve">5. Expected Outcomes and Regional Impact</w:t>
      </w:r>
    </w:p>
    <w:p>
      <w:pPr>
        <w:pStyle w:val="FirstParagraph"/>
      </w:pPr>
      <w:r>
        <w:t xml:space="preserve">The Professor leading this initiative will generate three transformative outputs directly benefiting Kazakhstan Almaty:</w:t>
      </w:r>
    </w:p>
    <w:p>
      <w:pPr>
        <w:numPr>
          <w:ilvl w:val="0"/>
          <w:numId w:val="1003"/>
        </w:numPr>
        <w:pStyle w:val="Compact"/>
      </w:pPr>
      <w:r>
        <w:rPr>
          <w:bCs/>
          <w:b/>
        </w:rPr>
        <w:t xml:space="preserve">Almaty Green Index:</w:t>
      </w:r>
      <w:r>
        <w:t xml:space="preserve"> </w:t>
      </w:r>
      <w:r>
        <w:t xml:space="preserve">A publicly accessible digital platform mapping environmental health metrics district-by-district, empowering citizens and policymakers.</w:t>
      </w:r>
    </w:p>
    <w:p>
      <w:pPr>
        <w:numPr>
          <w:ilvl w:val="0"/>
          <w:numId w:val="1003"/>
        </w:numPr>
        <w:pStyle w:val="Compact"/>
      </w:pPr>
      <w:r>
        <w:rPr>
          <w:bCs/>
          <w:b/>
        </w:rPr>
        <w:t xml:space="preserve">Pilot Project Implementation:</w:t>
      </w:r>
      <w:r>
        <w:t xml:space="preserve"> </w:t>
      </w:r>
      <w:r>
        <w:t xml:space="preserve">Three scalable community projects (e.g., a park revitalization in the Astana District using recycled materials) to be operational by Year 2.</w:t>
      </w:r>
    </w:p>
    <w:p>
      <w:pPr>
        <w:numPr>
          <w:ilvl w:val="0"/>
          <w:numId w:val="1003"/>
        </w:numPr>
        <w:pStyle w:val="Compact"/>
      </w:pPr>
      <w:r>
        <w:rPr>
          <w:bCs/>
          <w:b/>
        </w:rPr>
        <w:t xml:space="preserve">National Policy Briefing:</w:t>
      </w:r>
      <w:r>
        <w:t xml:space="preserve"> </w:t>
      </w:r>
      <w:r>
        <w:t xml:space="preserve">Formal recommendations adopted by Kazakhstan's State Program for Environmental Protection (2025-30), directly linking Almaty's success to national targets.</w:t>
      </w:r>
    </w:p>
    <w:p>
      <w:pPr>
        <w:pStyle w:val="FirstParagraph"/>
      </w:pPr>
      <w:r>
        <w:t xml:space="preserve">Crucially, this research will position the Professor as a central figure in Kazakhstan's academic ecosystem. By training 30+ graduate students from Almaty universities in data-driven urban solutions, the initiative addresses critical talent gaps while building local capacity for future projects. The Research Proposal explicitly prioritizes knowledge transfer – all datasets will be hosted on Kazakh-language open-access platforms to ensure accessibility for regional decision-makers.</w:t>
      </w:r>
    </w:p>
    <w:bookmarkEnd w:id="24"/>
    <w:bookmarkStart w:id="25" w:name="X047acdcc3b6a2ba4a87e62188d372069a06d468"/>
    <w:p>
      <w:pPr>
        <w:pStyle w:val="Heading2"/>
      </w:pPr>
      <w:r>
        <w:t xml:space="preserve">6. Significance in Kazakhstan's Development Trajectory</w:t>
      </w:r>
    </w:p>
    <w:p>
      <w:pPr>
        <w:pStyle w:val="FirstParagraph"/>
      </w:pPr>
      <w:r>
        <w:t xml:space="preserve">Kazakhstan's "Digital Kazakhstan" strategy and UN Sustainable Development Goal commitments require localized research excellence. This Professor-led initiative directly supports:</w:t>
      </w:r>
    </w:p>
    <w:p>
      <w:pPr>
        <w:numPr>
          <w:ilvl w:val="0"/>
          <w:numId w:val="1004"/>
        </w:numPr>
        <w:pStyle w:val="Compact"/>
      </w:pPr>
      <w:r>
        <w:rPr>
          <w:bCs/>
          <w:b/>
        </w:rPr>
        <w:t xml:space="preserve">Environmental Sovereignty:</w:t>
      </w:r>
      <w:r>
        <w:t xml:space="preserve"> </w:t>
      </w:r>
      <w:r>
        <w:t xml:space="preserve">Reducing reliance on imported climate solutions through Almaty-centric innovation.</w:t>
      </w:r>
    </w:p>
    <w:p>
      <w:pPr>
        <w:numPr>
          <w:ilvl w:val="0"/>
          <w:numId w:val="1004"/>
        </w:numPr>
        <w:pStyle w:val="Compact"/>
      </w:pPr>
      <w:r>
        <w:rPr>
          <w:bCs/>
          <w:b/>
        </w:rPr>
        <w:t xml:space="preserve">Economic Diversification:</w:t>
      </w:r>
      <w:r>
        <w:t xml:space="preserve"> </w:t>
      </w:r>
      <w:r>
        <w:t xml:space="preserve">Creating a pipeline for Kazakh green tech startups, with potential commercial partnerships via Almaty's Innovation Park.</w:t>
      </w:r>
    </w:p>
    <w:p>
      <w:pPr>
        <w:numPr>
          <w:ilvl w:val="0"/>
          <w:numId w:val="1004"/>
        </w:numPr>
        <w:pStyle w:val="Compact"/>
      </w:pPr>
      <w:r>
        <w:rPr>
          <w:bCs/>
          <w:b/>
        </w:rPr>
        <w:t xml:space="preserve">Regional Leadership:</w:t>
      </w:r>
      <w:r>
        <w:t xml:space="preserve"> </w:t>
      </w:r>
      <w:r>
        <w:t xml:space="preserve">Establishing Kazakhstan Almaty as the Central Asian hub for urban sustainability, attracting international funding (e.g., World Bank, GEF projects).</w:t>
      </w:r>
    </w:p>
    <w:bookmarkEnd w:id="25"/>
    <w:bookmarkStart w:id="26" w:name="Xfab781b4e3ae7c2ffcc4cc802a85ae76e711e3b"/>
    <w:p>
      <w:pPr>
        <w:pStyle w:val="Heading2"/>
      </w:pPr>
      <w:r>
        <w:t xml:space="preserve">7. Implementation Timeline and Resource Requirements</w:t>
      </w:r>
    </w:p>
    <w:p>
      <w:pPr>
        <w:pStyle w:val="FirstParagraph"/>
      </w:pPr>
      <w:r>
        <w:t xml:space="preserve">Over a 24-month period, the Research Proposal is structured for rapid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 for Kazakhstan Almaty</w:t>
            </w:r>
          </w:p>
        </w:tc>
      </w:tr>
      <w:tr>
        <w:tc>
          <w:tcPr/>
          <w:p>
            <w:pPr>
              <w:pStyle w:val="Compact"/>
              <w:jc w:val="left"/>
            </w:pPr>
            <w:r>
              <w:rPr>
                <w:bCs/>
                <w:b/>
              </w:rPr>
              <w:t xml:space="preserve">Months 1-6:</w:t>
            </w:r>
          </w:p>
        </w:tc>
        <w:tc>
          <w:tcPr/>
          <w:p>
            <w:pPr>
              <w:pStyle w:val="Compact"/>
              <w:jc w:val="left"/>
            </w:pPr>
            <w:r>
              <w:t xml:space="preserve">Stakeholder mapping, sensor deployment, baseline surveys</w:t>
            </w:r>
          </w:p>
        </w:tc>
        <w:tc>
          <w:tcPr/>
          <w:p>
            <w:pPr>
              <w:pStyle w:val="Compact"/>
              <w:jc w:val="left"/>
            </w:pPr>
            <w:r>
              <w:t xml:space="preserve">Signed MOUs with 8 Almaty municipal departments; Preliminary pollution database</w:t>
            </w:r>
          </w:p>
        </w:tc>
      </w:tr>
      <w:tr>
        <w:tc>
          <w:tcPr/>
          <w:p>
            <w:pPr>
              <w:pStyle w:val="Compact"/>
              <w:jc w:val="left"/>
            </w:pPr>
            <w:r>
              <w:rPr>
                <w:bCs/>
                <w:b/>
              </w:rPr>
              <w:t xml:space="preserve">Months 7-15:</w:t>
            </w:r>
          </w:p>
        </w:tc>
        <w:tc>
          <w:tcPr/>
          <w:p>
            <w:pPr>
              <w:pStyle w:val="Compact"/>
              <w:jc w:val="left"/>
            </w:pPr>
            <w:r>
              <w:t xml:space="preserve">Co-design workshops, pilot testing, economic modeling</w:t>
            </w:r>
          </w:p>
        </w:tc>
        <w:tc>
          <w:tcPr/>
          <w:p>
            <w:pPr>
              <w:pStyle w:val="Compact"/>
              <w:jc w:val="left"/>
            </w:pPr>
            <w:r>
              <w:t xml:space="preserve">3 community-led project prototypes; Cost-benefit analysis report</w:t>
            </w:r>
          </w:p>
        </w:tc>
      </w:tr>
      <w:tr>
        <w:tc>
          <w:tcPr/>
          <w:p>
            <w:pPr>
              <w:pStyle w:val="Compact"/>
              <w:jc w:val="left"/>
            </w:pPr>
            <w:r>
              <w:rPr>
                <w:bCs/>
                <w:b/>
              </w:rPr>
              <w:t xml:space="preserve">Months 16-24:</w:t>
            </w:r>
          </w:p>
        </w:tc>
        <w:tc>
          <w:tcPr/>
          <w:p>
            <w:pPr>
              <w:pStyle w:val="Compact"/>
              <w:jc w:val="left"/>
            </w:pPr>
            <w:r>
              <w:t xml:space="preserve">Policy integration, knowledge dissemination, scale-up planning</w:t>
            </w:r>
          </w:p>
        </w:tc>
        <w:tc>
          <w:tcPr/>
          <w:p>
            <w:pPr>
              <w:pStyle w:val="Compact"/>
              <w:jc w:val="left"/>
            </w:pPr>
            <w:r>
              <w:t xml:space="preserve">National toolkit; Almaty Green Index launch; Policy brief to government</w:t>
            </w:r>
          </w:p>
        </w:tc>
      </w:tr>
    </w:tbl>
    <w:bookmarkEnd w:id="26"/>
    <w:bookmarkStart w:id="27" w:name="Xbec2d79f508eb47a76d4ca9f0f56a2a7d6eef8f"/>
    <w:p>
      <w:pPr>
        <w:pStyle w:val="Heading2"/>
      </w:pPr>
      <w:r>
        <w:t xml:space="preserve">8. Conclusion: A Catalyst for Kazakhstan's Urban Future</w:t>
      </w:r>
    </w:p>
    <w:p>
      <w:pPr>
        <w:pStyle w:val="FirstParagraph"/>
      </w:pPr>
      <w:r>
        <w:t xml:space="preserve">This Research Proposal represents more than academic inquiry – it is a strategic investment in Kazakhstan Almaty's sustainable future. The appointed Professor will serve as both researcher and community catalyst, ensuring every finding directly addresses the city's most pressing challenges while strengthening national development goals. By centering local knowledge, this initiative avoids the pitfalls of externally imposed solutions and instead cultivates homegrown expertise critical for Kazakhstan to achieve its vision of becoming a green economy leader in Eurasia.</w:t>
      </w:r>
    </w:p>
    <w:p>
      <w:pPr>
        <w:pStyle w:val="BodyText"/>
      </w:pPr>
      <w:r>
        <w:t xml:space="preserve">As Kazakhstan accelerates its urban transformation, this project will establish Almaty as a living laboratory for sustainable development. The Professor's role extends beyond publishing academic papers; it involves mentoring the next generation of Kazakh environmental leaders and building bridges between academia, government, and communities. In doing so, this Research Proposal positions Kazakhstan Almaty not merely as a case study but as a pioneer whose model will resonate across the Silk Road nations facing similar urban pressures. The time for localized, action-oriented research is now – and the Professor appointed to lead this initiative will be instrumental in shaping Almaty's legacy as Central Asia's most resilient city.</w:t>
      </w:r>
    </w:p>
    <w:p>
      <w:pPr>
        <w:pStyle w:val="BodyText"/>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Development in Kazakhstan Almaty</dc:title>
  <dc:creator/>
  <cp:keywords/>
  <dcterms:created xsi:type="dcterms:W3CDTF">2026-07-21T09:13:13Z</dcterms:created>
  <dcterms:modified xsi:type="dcterms:W3CDTF">2026-07-21T09:13:13Z</dcterms:modified>
</cp:coreProperties>
</file>

<file path=docProps/custom.xml><?xml version="1.0" encoding="utf-8"?>
<Properties xmlns="http://schemas.openxmlformats.org/officeDocument/2006/custom-properties" xmlns:vt="http://schemas.openxmlformats.org/officeDocument/2006/docPropsVTypes"/>
</file>