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Mental</w:t>
      </w:r>
      <w:r>
        <w:t xml:space="preserve"> </w:t>
      </w:r>
      <w:r>
        <w:t xml:space="preserve">Health</w:t>
      </w:r>
      <w:r>
        <w:t xml:space="preserve"> </w:t>
      </w:r>
      <w:r>
        <w:t xml:space="preserve">Integration</w:t>
      </w:r>
      <w:r>
        <w:t xml:space="preserve"> </w:t>
      </w:r>
      <w:r>
        <w:t xml:space="preserve">for</w:t>
      </w:r>
      <w:r>
        <w:t xml:space="preserve"> </w:t>
      </w:r>
      <w:r>
        <w:t xml:space="preserve">Psychologists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be6c6f52af22456ba503fead8d94c9cb9f8e088"/>
    <w:p>
      <w:pPr>
        <w:pStyle w:val="Heading1"/>
      </w:pPr>
      <w:r>
        <w:t xml:space="preserve">Research Proposal: Advancing Psychological Practice Through Digital Integration in Russia Saint Petersburg</w:t>
      </w:r>
    </w:p>
    <w:bookmarkStart w:id="20" w:name="introduction-and-background"/>
    <w:p>
      <w:pPr>
        <w:pStyle w:val="Heading2"/>
      </w:pPr>
      <w:r>
        <w:t xml:space="preserve">1. Introduction and Background</w:t>
      </w:r>
    </w:p>
    <w:p>
      <w:pPr>
        <w:pStyle w:val="FirstParagraph"/>
      </w:pPr>
      <w:r>
        <w:t xml:space="preserve">The mental health landscape in Russia presents significant challenges, particularly within urban centers like Saint Petersburg. As the second-largest city globally with over 5 million residents, Saint Petersburg faces unique psychological stressors including economic transitions, seasonal affective disorder due to long winters, and historical trauma. Despite growing awareness of mental health needs, access to qualified</w:t>
      </w:r>
      <w:r>
        <w:t xml:space="preserve"> </w:t>
      </w:r>
      <w:r>
        <w:rPr>
          <w:bCs/>
          <w:b/>
        </w:rPr>
        <w:t xml:space="preserve">Psychologist</w:t>
      </w:r>
      <w:r>
        <w:t xml:space="preserve"> </w:t>
      </w:r>
      <w:r>
        <w:t xml:space="preserve">services remains severely limited—only 1.2 psychologists serve every 100,000 citizens in Russia compared to the WHO-recommended ratio of 5.7 per 100,000. This gap is most acute in Saint Petersburg's expanding suburbs where public mental health infrastructure lags behind population growth.</w:t>
      </w:r>
    </w:p>
    <w:p>
      <w:pPr>
        <w:pStyle w:val="BodyText"/>
      </w:pPr>
      <w:r>
        <w:t xml:space="preserve">Concurrently, digital health solutions are emerging as critical tools for scalability. However, their adoption in Russia's healthcare system—especially by licensed</w:t>
      </w:r>
      <w:r>
        <w:t xml:space="preserve"> </w:t>
      </w:r>
      <w:r>
        <w:rPr>
          <w:bCs/>
          <w:b/>
        </w:rPr>
        <w:t xml:space="preserve">Psychologist</w:t>
      </w:r>
      <w:r>
        <w:t xml:space="preserve">s—remains fragmented due to regulatory barriers, cultural hesitancy toward teletherapy, and insufficient training. This research proposal addresses this urgent need by investigating how a structured digital integration framework can enhance accessibility and efficacy of psychological services within</w:t>
      </w:r>
      <w:r>
        <w:t xml:space="preserve"> </w:t>
      </w:r>
      <w:r>
        <w:rPr>
          <w:bCs/>
          <w:b/>
        </w:rPr>
        <w:t xml:space="preserve">Russia Saint Petersburg</w:t>
      </w:r>
      <w:r>
        <w:t xml:space="preserve">.</w:t>
      </w:r>
    </w:p>
    <w:bookmarkEnd w:id="20"/>
    <w:bookmarkStart w:id="21" w:name="problem-statement"/>
    <w:p>
      <w:pPr>
        <w:pStyle w:val="Heading2"/>
      </w:pPr>
      <w:r>
        <w:t xml:space="preserve">2. Problem Statement</w:t>
      </w:r>
    </w:p>
    <w:p>
      <w:pPr>
        <w:pStyle w:val="FirstParagraph"/>
      </w:pPr>
      <w:r>
        <w:t xml:space="preserve">In Saint Petersburg alone, an estimated 35% of adults experience mental health symptoms annually (Russian Ministry of Health, 2023), yet only 18% receive professional support. Key barriers include:</w:t>
      </w:r>
    </w:p>
    <w:p>
      <w:pPr>
        <w:numPr>
          <w:ilvl w:val="0"/>
          <w:numId w:val="1001"/>
        </w:numPr>
        <w:pStyle w:val="Compact"/>
      </w:pPr>
      <w:r>
        <w:rPr>
          <w:bCs/>
          <w:b/>
        </w:rPr>
        <w:t xml:space="preserve">Geographic Disparities</w:t>
      </w:r>
      <w:r>
        <w:t xml:space="preserve">: Rural-urban divide exacerbates access issues; Saint Petersburg’s satellite towns report 60% fewer psychology clinics than city centers.</w:t>
      </w:r>
    </w:p>
    <w:p>
      <w:pPr>
        <w:numPr>
          <w:ilvl w:val="0"/>
          <w:numId w:val="1001"/>
        </w:numPr>
        <w:pStyle w:val="Compact"/>
      </w:pPr>
      <w:r>
        <w:rPr>
          <w:bCs/>
          <w:b/>
        </w:rPr>
        <w:t xml:space="preserve">Cultural Stigma</w:t>
      </w:r>
      <w:r>
        <w:t xml:space="preserve">: Mental health consultations are often perceived as "weakness," deterring engagement with traditional</w:t>
      </w:r>
      <w:r>
        <w:t xml:space="preserve"> </w:t>
      </w:r>
      <w:r>
        <w:rPr>
          <w:bCs/>
          <w:b/>
        </w:rPr>
        <w:t xml:space="preserve">Psychologist</w:t>
      </w:r>
      <w:r>
        <w:t xml:space="preserve">-led services.</w:t>
      </w:r>
    </w:p>
    <w:p>
      <w:pPr>
        <w:numPr>
          <w:ilvl w:val="0"/>
          <w:numId w:val="1001"/>
        </w:numPr>
        <w:pStyle w:val="Compact"/>
      </w:pPr>
      <w:r>
        <w:rPr>
          <w:bCs/>
          <w:b/>
        </w:rPr>
        <w:t xml:space="preserve">Technological Gaps</w:t>
      </w:r>
      <w:r>
        <w:t xml:space="preserve">: 70% of licensed psychologists in Saint Petersburg lack formal training in digital therapeutic tools despite high smartphone penetration (89% of adults).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and validate a culturally adapted Digital Psychological Intervention Framework (DPIF) specifically for use by psychologists in</w:t>
      </w:r>
      <w:r>
        <w:t xml:space="preserve"> </w:t>
      </w:r>
      <w:r>
        <w:rPr>
          <w:bCs/>
          <w:b/>
        </w:rPr>
        <w:t xml:space="preserve">Russia Saint Petersburg</w:t>
      </w:r>
      <w:r>
        <w:t xml:space="preserve">. Primary objectives include:</w:t>
      </w:r>
    </w:p>
    <w:p>
      <w:pPr>
        <w:numPr>
          <w:ilvl w:val="0"/>
          <w:numId w:val="1002"/>
        </w:numPr>
        <w:pStyle w:val="Compact"/>
      </w:pPr>
      <w:r>
        <w:t xml:space="preserve">Evaluate current digital tool adoption rates among 200+ licensed psychologists across Saint Petersburg’s public and private sectors.</w:t>
      </w:r>
    </w:p>
    <w:p>
      <w:pPr>
        <w:numPr>
          <w:ilvl w:val="0"/>
          <w:numId w:val="1002"/>
        </w:numPr>
        <w:pStyle w:val="Compact"/>
      </w:pPr>
      <w:r>
        <w:t xml:space="preserve">Identify cultural, regulatory, and technical barriers to teletherapy implementation in Saint Petersburg’s context.</w:t>
      </w:r>
    </w:p>
    <w:p>
      <w:pPr>
        <w:numPr>
          <w:ilvl w:val="0"/>
          <w:numId w:val="1002"/>
        </w:numPr>
        <w:pStyle w:val="Compact"/>
      </w:pPr>
      <w:r>
        <w:t xml:space="preserve">Co-design a DPIF with local psychologists incorporating Russian therapeutic traditions (e.g., "Soviet-era" resilience frameworks) and GDPR-aligned digital ethics.</w:t>
      </w:r>
    </w:p>
    <w:p>
      <w:pPr>
        <w:numPr>
          <w:ilvl w:val="0"/>
          <w:numId w:val="1002"/>
        </w:numPr>
        <w:pStyle w:val="Compact"/>
      </w:pPr>
      <w:r>
        <w:t xml:space="preserve">Measure efficacy of DPIF through a 6-month pilot involving 500+ clients across Saint Petersburg’s diverse demographics.</w:t>
      </w:r>
    </w:p>
    <w:bookmarkEnd w:id="22"/>
    <w:bookmarkStart w:id="23" w:name="literature-review"/>
    <w:p>
      <w:pPr>
        <w:pStyle w:val="Heading2"/>
      </w:pPr>
      <w:r>
        <w:t xml:space="preserve">4. Literature Review</w:t>
      </w:r>
    </w:p>
    <w:p>
      <w:pPr>
        <w:pStyle w:val="FirstParagraph"/>
      </w:pPr>
      <w:r>
        <w:t xml:space="preserve">Globally, digital mental health solutions show promise—digital CBT reduces depression symptoms by 35% (WHO, 2022). However, studies in post-Soviet contexts remain scarce. A 2021 Kazan study revealed only 9% of psychologists used teletherapy due to "unregulated digital platforms" and "lack of Russian-language evidence." This gap is critical: Saint Petersburg’s population includes significant immigrant communities (e.g., Central Asian laborers, Ukrainian refugees) where culturally sensitive digital tools could bridge language barriers. Our work builds on Dr. Ivanova’s pioneering 2020 St. Petersburg pilot but addresses its limitations—lack of governmental integration and scalability.</w:t>
      </w:r>
    </w:p>
    <w:bookmarkEnd w:id="23"/>
    <w:bookmarkStart w:id="24" w:name="methodology"/>
    <w:p>
      <w:pPr>
        <w:pStyle w:val="Heading2"/>
      </w:pPr>
      <w:r>
        <w:t xml:space="preserve">5. Methodology</w:t>
      </w:r>
    </w:p>
    <w:p>
      <w:pPr>
        <w:pStyle w:val="FirstParagraph"/>
      </w:pPr>
      <w:r>
        <w:t xml:space="preserve">We propose a mixed-methods action research design across three phases:</w:t>
      </w:r>
    </w:p>
    <w:p>
      <w:pPr>
        <w:numPr>
          <w:ilvl w:val="0"/>
          <w:numId w:val="1003"/>
        </w:numPr>
        <w:pStyle w:val="Compact"/>
      </w:pPr>
      <w:r>
        <w:rPr>
          <w:bCs/>
          <w:b/>
        </w:rPr>
        <w:t xml:space="preserve">Phase 1 (3 months)</w:t>
      </w:r>
      <w:r>
        <w:t xml:space="preserve">: Quantitative survey of 300 psychologists in Saint Petersburg via the Russian Psychologists’ Association (RPA) database, measuring digital literacy, barriers to adoption, and client demographics.</w:t>
      </w:r>
    </w:p>
    <w:p>
      <w:pPr>
        <w:numPr>
          <w:ilvl w:val="0"/>
          <w:numId w:val="1003"/>
        </w:numPr>
        <w:pStyle w:val="Compact"/>
      </w:pPr>
      <w:r>
        <w:rPr>
          <w:bCs/>
          <w:b/>
        </w:rPr>
        <w:t xml:space="preserve">Phase 2 (4 months)</w:t>
      </w:r>
      <w:r>
        <w:t xml:space="preserve">: Focus groups with 60 psychologists and 150 clients across Saint Petersburg districts (e.g., Vasilievsky Island, Krasnoselsk) to co-design DPIF protocols addressing local nuances like "cold-season depression" and stigma reduction strategies.</w:t>
      </w:r>
    </w:p>
    <w:p>
      <w:pPr>
        <w:numPr>
          <w:ilvl w:val="0"/>
          <w:numId w:val="1003"/>
        </w:numPr>
        <w:pStyle w:val="Compact"/>
      </w:pPr>
      <w:r>
        <w:rPr>
          <w:bCs/>
          <w:b/>
        </w:rPr>
        <w:t xml:space="preserve">Phase 3 (8 months)</w:t>
      </w:r>
      <w:r>
        <w:t xml:space="preserve">: Randomized controlled trial with 250 clients—125 using DPIF-integrated services (e.g., AI-assisted mood tracking + weekly video sessions) vs. standard care. Outcomes measured via PHQ-9/GAD-7 scales and client satisfaction surveys.</w:t>
      </w:r>
    </w:p>
    <w:p>
      <w:pPr>
        <w:pStyle w:val="FirstParagraph"/>
      </w:pPr>
      <w:r>
        <w:t xml:space="preserve">All data collection will adhere to Russian Federal Law 152-FZ on Personal Data, with IRB approval from Saint Petersburg State University’s Psychology Department.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DPIF toolkit tailored for Saint Petersburg’s cultural context, including Russian-language teletherapy modules for trauma and anxiety.</w:t>
      </w:r>
    </w:p>
    <w:p>
      <w:pPr>
        <w:numPr>
          <w:ilvl w:val="0"/>
          <w:numId w:val="1004"/>
        </w:numPr>
        <w:pStyle w:val="Compact"/>
      </w:pPr>
      <w:r>
        <w:t xml:space="preserve">Evidence-based recommendations for the Russian Ministry of Health to update teletherapy regulations specific to Saint Petersburg.</w:t>
      </w:r>
    </w:p>
    <w:p>
      <w:pPr>
        <w:numPr>
          <w:ilvl w:val="0"/>
          <w:numId w:val="1004"/>
        </w:numPr>
        <w:pStyle w:val="Compact"/>
      </w:pPr>
      <w:r>
        <w:t xml:space="preserve">Training protocols for psychologists across Russia, with initial deployment in 10 Saint Petersburg community clinics.</w:t>
      </w:r>
    </w:p>
    <w:p>
      <w:pPr>
        <w:pStyle w:val="FirstParagraph"/>
      </w:pPr>
      <w:r>
        <w:t xml:space="preserve">The significance is threefold:</w:t>
      </w:r>
    </w:p>
    <w:p>
      <w:pPr>
        <w:numPr>
          <w:ilvl w:val="0"/>
          <w:numId w:val="1005"/>
        </w:numPr>
        <w:pStyle w:val="Compact"/>
      </w:pPr>
      <w:r>
        <w:rPr>
          <w:bCs/>
          <w:b/>
        </w:rPr>
        <w:t xml:space="preserve">Public Health Impact</w:t>
      </w:r>
      <w:r>
        <w:t xml:space="preserve">: Could expand mental health coverage to 50,000+ Saint Petersburg residents within 5 years through scalable digital models.</w:t>
      </w:r>
    </w:p>
    <w:p>
      <w:pPr>
        <w:numPr>
          <w:ilvl w:val="0"/>
          <w:numId w:val="1005"/>
        </w:numPr>
        <w:pStyle w:val="Compact"/>
      </w:pPr>
      <w:r>
        <w:rPr>
          <w:bCs/>
          <w:b/>
        </w:rPr>
        <w:t xml:space="preserve">Professional Development</w:t>
      </w:r>
      <w:r>
        <w:t xml:space="preserve">: Empowers local psychologists as innovation leaders—addressing the current "skill mismatch" where 68% of Russian psychologists feel unprepared for tech-driven care (Petrov, 2023).</w:t>
      </w:r>
    </w:p>
    <w:p>
      <w:pPr>
        <w:numPr>
          <w:ilvl w:val="0"/>
          <w:numId w:val="1005"/>
        </w:numPr>
        <w:pStyle w:val="Compact"/>
      </w:pPr>
      <w:r>
        <w:rPr>
          <w:bCs/>
          <w:b/>
        </w:rPr>
        <w:t xml:space="preserve">National Policy Influence</w:t>
      </w:r>
      <w:r>
        <w:t xml:space="preserve">: Findings will inform Russia’s new National Mental Health Strategy (2025), positioning Saint Petersburg as a model city for digital psychological services.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(RUB)</w:t>
            </w:r>
          </w:p>
        </w:tc>
      </w:tr>
      <w:tr>
        <w:tc>
          <w:tcPr/>
          <w:p>
            <w:pPr>
              <w:pStyle w:val="Compact"/>
              <w:jc w:val="left"/>
            </w:pPr>
            <w:r>
              <w:t xml:space="preserve">Phase 1: Survey &amp; Analysis</w:t>
            </w:r>
          </w:p>
        </w:tc>
        <w:tc>
          <w:tcPr/>
          <w:p>
            <w:pPr>
              <w:pStyle w:val="Compact"/>
              <w:jc w:val="left"/>
            </w:pPr>
            <w:r>
              <w:t xml:space="preserve">Months 1-3</w:t>
            </w:r>
          </w:p>
        </w:tc>
        <w:tc>
          <w:tcPr/>
          <w:p>
            <w:pPr>
              <w:pStyle w:val="Compact"/>
              <w:jc w:val="left"/>
            </w:pPr>
            <w:r>
              <w:t xml:space="preserve">450,000</w:t>
            </w:r>
          </w:p>
        </w:tc>
      </w:tr>
      <w:tr>
        <w:tc>
          <w:tcPr/>
          <w:p>
            <w:pPr>
              <w:pStyle w:val="Compact"/>
              <w:jc w:val="left"/>
            </w:pPr>
            <w:r>
              <w:t xml:space="preserve">Phase 2: Co-Design Workshops</w:t>
            </w:r>
          </w:p>
        </w:tc>
        <w:tc>
          <w:tcPr/>
          <w:p>
            <w:pPr>
              <w:pStyle w:val="Compact"/>
              <w:jc w:val="left"/>
            </w:pPr>
            <w:r>
              <w:t xml:space="preserve">Months 4-7</w:t>
            </w:r>
          </w:p>
        </w:tc>
        <w:tc>
          <w:tcPr/>
          <w:p>
            <w:pPr>
              <w:pStyle w:val="Compact"/>
              <w:jc w:val="left"/>
            </w:pPr>
            <w:r>
              <w:t xml:space="preserve">680,000</w:t>
            </w:r>
          </w:p>
        </w:tc>
      </w:tr>
      <w:tr>
        <w:tc>
          <w:tcPr/>
          <w:p>
            <w:pPr>
              <w:pStyle w:val="Compact"/>
              <w:jc w:val="left"/>
            </w:pPr>
            <w:r>
              <w:t xml:space="preserve">Phase 3: Pilot Implementation &amp; Evaluation</w:t>
            </w:r>
          </w:p>
        </w:tc>
        <w:tc>
          <w:tcPr/>
          <w:p>
            <w:pPr>
              <w:pStyle w:val="Compact"/>
              <w:jc w:val="left"/>
            </w:pPr>
            <w:r>
              <w:t xml:space="preserve">Months 8-15</w:t>
            </w:r>
          </w:p>
        </w:tc>
        <w:tc>
          <w:tcPr/>
          <w:p>
            <w:pPr>
              <w:pStyle w:val="Compact"/>
              <w:jc w:val="left"/>
            </w:pPr>
            <w:r>
              <w:t xml:space="preserve">2,150,000</w:t>
            </w:r>
          </w:p>
        </w:tc>
      </w:tr>
      <w:tr>
        <w:tc>
          <w:tcPr/>
          <w:p>
            <w:pPr>
              <w:pStyle w:val="Compact"/>
              <w:jc w:val="left"/>
            </w:pPr>
            <w:r>
              <w:rPr>
                <w:iCs/>
                <w:i/>
              </w:rPr>
              <w:t xml:space="preserve">Total Project Cost</w:t>
            </w:r>
          </w:p>
        </w:tc>
        <w:tc>
          <w:tcPr/>
          <w:p>
            <w:pPr>
              <w:pStyle w:val="Compact"/>
              <w:jc w:val="left"/>
            </w:pPr>
            <w:r>
              <w:rPr>
                <w:iCs/>
                <w:i/>
              </w:rPr>
              <w:t xml:space="preserve">15 months</w:t>
            </w:r>
          </w:p>
        </w:tc>
        <w:tc>
          <w:tcPr/>
          <w:p>
            <w:pPr>
              <w:pStyle w:val="Compact"/>
              <w:jc w:val="left"/>
            </w:pPr>
            <w:r>
              <w:rPr>
                <w:iCs/>
                <w:i/>
              </w:rPr>
              <w:t xml:space="preserve">3,280,000 RUB (~$37,500 USD)</w:t>
            </w:r>
          </w:p>
        </w:tc>
      </w:tr>
    </w:tbl>
    <w:bookmarkEnd w:id="26"/>
    <w:bookmarkStart w:id="28"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 critical inflection point in mental healthcare delivery across</w:t>
      </w:r>
      <w:r>
        <w:t xml:space="preserve"> </w:t>
      </w:r>
      <w:r>
        <w:rPr>
          <w:bCs/>
          <w:b/>
        </w:rPr>
        <w:t xml:space="preserve">Russia Saint Petersburg</w:t>
      </w:r>
      <w:r>
        <w:t xml:space="preserve">. By centering the expertise of local psychologists and embedding solutions within Saint Petersburg’s social fabric, we move beyond generic digital models to create a replicable framework for Russian cities. The success of this initiative will demonstrate how a</w:t>
      </w:r>
      <w:r>
        <w:t xml:space="preserve"> </w:t>
      </w:r>
      <w:r>
        <w:rPr>
          <w:bCs/>
          <w:b/>
        </w:rPr>
        <w:t xml:space="preserve">Psychologist</w:t>
      </w:r>
      <w:r>
        <w:t xml:space="preserve"> </w:t>
      </w:r>
      <w:r>
        <w:t xml:space="preserve">at the forefront of technology can transform accessibility—turning Saint Petersburg from a city with acute mental health shortages into a national benchmark for compassionate, innovative care. As Russia accelerates its healthcare modernization, this work positions psychologists as indispensable catalysts for systemic change, ensuring no resident is left behind in the digital age.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Mental Health Integration for Psychologists in Russia Saint Petersburg</dc:title>
  <dc:creator/>
  <dc:language>en</dc:language>
  <cp:keywords/>
  <dcterms:created xsi:type="dcterms:W3CDTF">2026-07-24T06:13:03Z</dcterms:created>
  <dcterms:modified xsi:type="dcterms:W3CDTF">2026-07-24T06:13:03Z</dcterms:modified>
</cp:coreProperties>
</file>

<file path=docProps/custom.xml><?xml version="1.0" encoding="utf-8"?>
<Properties xmlns="http://schemas.openxmlformats.org/officeDocument/2006/custom-properties" xmlns:vt="http://schemas.openxmlformats.org/officeDocument/2006/docPropsVTypes"/>
</file>