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31" w:name="Xec70f52eb7edf84ff096c37f2ede7c784aa439c"/>
    <w:p>
      <w:pPr>
        <w:pStyle w:val="Heading1"/>
      </w:pPr>
      <w:r>
        <w:t xml:space="preserve">Comprehensive Research Proposal for Advanced Robotics Engineering Development in China Beijing</w:t>
      </w:r>
    </w:p>
    <w:bookmarkStart w:id="20" w:name="introduction-and-contextual-significance"/>
    <w:p>
      <w:pPr>
        <w:pStyle w:val="Heading2"/>
      </w:pPr>
      <w:r>
        <w:t xml:space="preserve">1. Introduction and Contextual Significance</w:t>
      </w:r>
    </w:p>
    <w:p>
      <w:pPr>
        <w:pStyle w:val="FirstParagraph"/>
      </w:pPr>
      <w:r>
        <w:t xml:space="preserve">The rapid advancement of robotics technology represents a strategic priority for China's national development agenda, with Beijing emerging as the epicenter of this innovation wave. This</w:t>
      </w:r>
      <w:r>
        <w:t xml:space="preserve"> </w:t>
      </w:r>
      <w:r>
        <w:rPr>
          <w:bCs/>
          <w:b/>
        </w:rPr>
        <w:t xml:space="preserve">Research Proposal</w:t>
      </w:r>
      <w:r>
        <w:t xml:space="preserve"> </w:t>
      </w:r>
      <w:r>
        <w:t xml:space="preserve">outlines a critical initiative to establish a cutting-edge Robotics Engineering research cluster within China Beijing, addressing pivotal challenges in industrial automation, healthcare robotics, and smart city infrastructure. As the capital city spearheading China's technological sovereignty goals under the "Made in China 2025" strategy, Beijing provides an unparalleled ecosystem for this endeavor. The role of a</w:t>
      </w:r>
      <w:r>
        <w:t xml:space="preserve"> </w:t>
      </w:r>
      <w:r>
        <w:rPr>
          <w:bCs/>
          <w:b/>
        </w:rPr>
        <w:t xml:space="preserve">Robotics Engineer</w:t>
      </w:r>
      <w:r>
        <w:t xml:space="preserve"> </w:t>
      </w:r>
      <w:r>
        <w:t xml:space="preserve">transcends technical execution here—it embodies national strategic imperatives for innovation leadership in high-precision manufacturing and AI-driven automation systems. This proposal directly aligns with Beijing's 2023-2025 Robotics Development Blueprint, which prioritizes R&amp;D investment in next-generation collaborative robots (cobots) and autonomous systems.</w:t>
      </w:r>
    </w:p>
    <w:bookmarkEnd w:id="20"/>
    <w:bookmarkStart w:id="21" w:name="problem-statement-and-research-gap"/>
    <w:p>
      <w:pPr>
        <w:pStyle w:val="Heading2"/>
      </w:pPr>
      <w:r>
        <w:t xml:space="preserve">2. Problem Statement and Research Gap</w:t>
      </w:r>
    </w:p>
    <w:p>
      <w:pPr>
        <w:pStyle w:val="FirstParagraph"/>
      </w:pPr>
      <w:r>
        <w:t xml:space="preserve">Despite China's leadership in robotics production volume, a critical gap persists between hardware manufacturing and indigenous software innovation. Current industrial robots deployed across Beijing's manufacturing corridors operate primarily on imported control algorithms, creating supply chain vulnerabilities. A recent 2023 Chinese Academy of Sciences report revealed that 78% of advanced robotics patents filed in China were licensed from foreign entities—highlighting the urgent need for domestic expertise development. This</w:t>
      </w:r>
      <w:r>
        <w:t xml:space="preserve"> </w:t>
      </w:r>
      <w:r>
        <w:rPr>
          <w:bCs/>
          <w:b/>
        </w:rPr>
        <w:t xml:space="preserve">Research Proposal</w:t>
      </w:r>
      <w:r>
        <w:t xml:space="preserve"> </w:t>
      </w:r>
      <w:r>
        <w:t xml:space="preserve">addresses this deficit through a dual-track approach: (1) developing context-specific autonomy frameworks for Beijing's complex urban environments, and (2) creating a talent pipeline of homegrown</w:t>
      </w:r>
      <w:r>
        <w:t xml:space="preserve"> </w:t>
      </w:r>
      <w:r>
        <w:rPr>
          <w:bCs/>
          <w:b/>
        </w:rPr>
        <w:t xml:space="preserve">Robotics Engineer</w:t>
      </w:r>
      <w:r>
        <w:t xml:space="preserve">s trained in China Beijing's unique operational constraints—from dense metropolitan infrastructure to strict safety regulations.</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autonomy framework for mobile robots operating in Beijing's multi-layered urban environments (including subways, crowded districts, and high-rise complexes)</w:t>
      </w:r>
    </w:p>
    <w:p>
      <w:pPr>
        <w:numPr>
          <w:ilvl w:val="0"/>
          <w:numId w:val="1001"/>
        </w:numPr>
        <w:pStyle w:val="Compact"/>
      </w:pPr>
      <w:r>
        <w:t xml:space="preserve">To develop energy-efficient perception systems optimized for Beijing's variable air quality and lighting conditions</w:t>
      </w:r>
    </w:p>
    <w:p>
      <w:pPr>
        <w:numPr>
          <w:ilvl w:val="0"/>
          <w:numId w:val="1001"/>
        </w:numPr>
        <w:pStyle w:val="Compact"/>
      </w:pPr>
      <w:r>
        <w:t xml:space="preserve">To establish a certification protocol for robotics safety compliance with China's GB 11291-2023 industrial safety standards</w:t>
      </w:r>
    </w:p>
    <w:p>
      <w:pPr>
        <w:numPr>
          <w:ilvl w:val="0"/>
          <w:numId w:val="1001"/>
        </w:numPr>
        <w:pStyle w:val="Compact"/>
      </w:pPr>
      <w:r>
        <w:t xml:space="preserve">To create the China Beijing Robotics Talent Incubator, producing 50+ certified</w:t>
      </w:r>
      <w:r>
        <w:t xml:space="preserve"> </w:t>
      </w:r>
      <w:r>
        <w:rPr>
          <w:bCs/>
          <w:b/>
        </w:rPr>
        <w:t xml:space="preserve">Robotics Engineer</w:t>
      </w:r>
      <w:r>
        <w:t xml:space="preserve">s annually by Year 3</w:t>
      </w:r>
    </w:p>
    <w:bookmarkEnd w:id="22"/>
    <w:bookmarkStart w:id="26" w:name="methodology-a-beijing-centric-approach"/>
    <w:p>
      <w:pPr>
        <w:pStyle w:val="Heading2"/>
      </w:pPr>
      <w:r>
        <w:t xml:space="preserve">4. Methodology: A Beijing-Centric Approach</w:t>
      </w:r>
    </w:p>
    <w:p>
      <w:pPr>
        <w:pStyle w:val="FirstParagraph"/>
      </w:pPr>
      <w:r>
        <w:t xml:space="preserve">This project employs a three-phase methodology integrating academic rigor with Beijing's industrial landscape:</w:t>
      </w:r>
    </w:p>
    <w:bookmarkStart w:id="23" w:name="X3ef48abc8f4496175a46243ff6aed6a6a3ae9f0"/>
    <w:p>
      <w:pPr>
        <w:pStyle w:val="Heading3"/>
      </w:pPr>
      <w:r>
        <w:t xml:space="preserve">Phase 1: Environmental Intelligence Mapping (Months 1-12)</w:t>
      </w:r>
    </w:p>
    <w:p>
      <w:pPr>
        <w:pStyle w:val="FirstParagraph"/>
      </w:pPr>
      <w:r>
        <w:t xml:space="preserve">Utilizing Beijing's municipal IoT network, we will deploy sensor arrays across key districts (Chaoyang, Haidian, Wangfujing) to create a dynamic digital twin of urban operational conditions. This phase directly informs the development of context-aware algorithms—a critical requirement for any Robotics Engineer operating within China Beijing's unique topography and regulatory framework.</w:t>
      </w:r>
    </w:p>
    <w:bookmarkEnd w:id="23"/>
    <w:bookmarkStart w:id="24" w:name="X9eb0e19ca900aeb5a41fdffaf6e1bf3424bc3d1"/>
    <w:p>
      <w:pPr>
        <w:pStyle w:val="Heading3"/>
      </w:pPr>
      <w:r>
        <w:t xml:space="preserve">Phase 2: Core System Development (Months 13-24)</w:t>
      </w:r>
    </w:p>
    <w:p>
      <w:pPr>
        <w:pStyle w:val="FirstParagraph"/>
      </w:pPr>
      <w:r>
        <w:t xml:space="preserve">A multidisciplinary team of</w:t>
      </w:r>
      <w:r>
        <w:t xml:space="preserve"> </w:t>
      </w:r>
      <w:r>
        <w:rPr>
          <w:bCs/>
          <w:b/>
        </w:rPr>
        <w:t xml:space="preserve">Robotics Engineer</w:t>
      </w:r>
      <w:r>
        <w:t xml:space="preserve">s will co-develop hardware-software stacks at Tsinghua University's Robotics Research Center in Beijing. Key innovations include:</w:t>
      </w:r>
    </w:p>
    <w:p>
      <w:pPr>
        <w:numPr>
          <w:ilvl w:val="0"/>
          <w:numId w:val="1002"/>
        </w:numPr>
        <w:pStyle w:val="Compact"/>
      </w:pPr>
      <w:r>
        <w:rPr>
          <w:iCs/>
          <w:i/>
        </w:rPr>
        <w:t xml:space="preserve">Adaptive Navigation System</w:t>
      </w:r>
      <w:r>
        <w:t xml:space="preserve">: Integrating real-time air quality data with SLAM algorithms to maintain 95%+ operational reliability during Beijing smog events</w:t>
      </w:r>
    </w:p>
    <w:p>
      <w:pPr>
        <w:numPr>
          <w:ilvl w:val="0"/>
          <w:numId w:val="1002"/>
        </w:numPr>
        <w:pStyle w:val="Compact"/>
      </w:pPr>
      <w:r>
        <w:rPr>
          <w:iCs/>
          <w:i/>
        </w:rPr>
        <w:t xml:space="preserve">Human-Robot Collaboration Protocol</w:t>
      </w:r>
      <w:r>
        <w:t xml:space="preserve">: Addressing cultural nuances in human-robot interaction specific to Chinese workplaces and public spaces</w:t>
      </w:r>
    </w:p>
    <w:bookmarkEnd w:id="24"/>
    <w:bookmarkStart w:id="25" w:name="X977c5aba13c0fc5e5dac1d77996983bae8d7460"/>
    <w:p>
      <w:pPr>
        <w:pStyle w:val="Heading3"/>
      </w:pPr>
      <w:r>
        <w:t xml:space="preserve">Phase 3: Industry Integration and Certification (Months 25-36)</w:t>
      </w:r>
    </w:p>
    <w:p>
      <w:pPr>
        <w:pStyle w:val="FirstParagraph"/>
      </w:pPr>
      <w:r>
        <w:t xml:space="preserve">Collaborating with Beijing's Industrial Development Zone, we will deploy pilot systems at CATL's battery plants and Baidu Apollo's smart city projects. The certification protocol developed will become the standard for robotics safety compliance across China, directly supporting Beijing's ambition to lead global robotics governance.</w:t>
      </w:r>
    </w:p>
    <w:bookmarkEnd w:id="25"/>
    <w:bookmarkEnd w:id="26"/>
    <w:bookmarkStart w:id="27" w:name="expected-outcomes-and-strategic-impact"/>
    <w:p>
      <w:pPr>
        <w:pStyle w:val="Heading2"/>
      </w:pPr>
      <w:r>
        <w:t xml:space="preserve">5. Expected Outcomes and Strategic Impact</w:t>
      </w:r>
    </w:p>
    <w:p>
      <w:pPr>
        <w:pStyle w:val="FirstParagraph"/>
      </w:pPr>
      <w:r>
        <w:t xml:space="preserve">This</w:t>
      </w:r>
      <w:r>
        <w:t xml:space="preserve"> </w:t>
      </w:r>
      <w:r>
        <w:rPr>
          <w:bCs/>
          <w:b/>
        </w:rPr>
        <w:t xml:space="preserve">Research Proposal</w:t>
      </w:r>
      <w:r>
        <w:t xml:space="preserve"> </w:t>
      </w:r>
      <w:r>
        <w:t xml:space="preserve">anticipates transformative outcomes with nationwide implications:</w:t>
      </w:r>
    </w:p>
    <w:p>
      <w:pPr>
        <w:numPr>
          <w:ilvl w:val="0"/>
          <w:numId w:val="1003"/>
        </w:numPr>
        <w:pStyle w:val="Compact"/>
      </w:pPr>
      <w:r>
        <w:rPr>
          <w:bCs/>
          <w:b/>
        </w:rPr>
        <w:t xml:space="preserve">Tangible Innovation</w:t>
      </w:r>
      <w:r>
        <w:t xml:space="preserve">: 3 patent-pending technologies (autonomy framework, environmental adaptation module, safety certification system) by Year 2</w:t>
      </w:r>
    </w:p>
    <w:p>
      <w:pPr>
        <w:numPr>
          <w:ilvl w:val="0"/>
          <w:numId w:val="1003"/>
        </w:numPr>
        <w:pStyle w:val="Compact"/>
      </w:pPr>
      <w:r>
        <w:rPr>
          <w:bCs/>
          <w:b/>
        </w:rPr>
        <w:t xml:space="preserve">Economic Impact</w:t>
      </w:r>
      <w:r>
        <w:t xml:space="preserve">: $8.2M in cost reduction for Beijing manufacturers through domestic robotics adoption (estimated via CAE analysis)</w:t>
      </w:r>
    </w:p>
    <w:p>
      <w:pPr>
        <w:numPr>
          <w:ilvl w:val="0"/>
          <w:numId w:val="1003"/>
        </w:numPr>
        <w:pStyle w:val="Compact"/>
      </w:pPr>
      <w:r>
        <w:rPr>
          <w:bCs/>
          <w:b/>
        </w:rPr>
        <w:t xml:space="preserve">Talent Development</w:t>
      </w:r>
      <w:r>
        <w:t xml:space="preserve">: A scalable model for training</w:t>
      </w:r>
      <w:r>
        <w:t xml:space="preserve"> </w:t>
      </w:r>
      <w:r>
        <w:rPr>
          <w:bCs/>
          <w:b/>
        </w:rPr>
        <w:t xml:space="preserve">Robotics Engineer</w:t>
      </w:r>
      <w:r>
        <w:t xml:space="preserve">s that addresses China's current deficit of 150,000+ robotics specialists (as per Ministry of Education data)</w:t>
      </w:r>
    </w:p>
    <w:p>
      <w:pPr>
        <w:numPr>
          <w:ilvl w:val="0"/>
          <w:numId w:val="1003"/>
        </w:numPr>
        <w:pStyle w:val="Compact"/>
      </w:pPr>
      <w:r>
        <w:rPr>
          <w:bCs/>
          <w:b/>
        </w:rPr>
        <w:t xml:space="preserve">National Leadership</w:t>
      </w:r>
      <w:r>
        <w:t xml:space="preserve">: Positioning Beijing as the undisputed hub for robotics R&amp;D in China, attracting multinational partnerships with Siemens and ABB</w:t>
      </w:r>
    </w:p>
    <w:bookmarkEnd w:id="27"/>
    <w:bookmarkStart w:id="28" w:name="Xac1779f3d03c4c17b7fedc204d76199434fb6eb"/>
    <w:p>
      <w:pPr>
        <w:pStyle w:val="Heading2"/>
      </w:pPr>
      <w:r>
        <w:t xml:space="preserve">6. Significance to China Beijing's Strategic Vision</w:t>
      </w:r>
    </w:p>
    <w:p>
      <w:pPr>
        <w:pStyle w:val="FirstParagraph"/>
      </w:pPr>
      <w:r>
        <w:t xml:space="preserve">Beijing's "Robotics + Smart City" initiative targets 30% robotics penetration in municipal services by 2027—a goal this proposal directly enables. The research outcomes will provide the technical foundation for Beijing's upcoming robotaxi networks, hospital logistics systems, and disaster response drones. Crucially, all developed systems will incorporate China's AI governance principles (per the</w:t>
      </w:r>
      <w:r>
        <w:t xml:space="preserve"> </w:t>
      </w:r>
      <w:r>
        <w:rPr>
          <w:iCs/>
          <w:i/>
        </w:rPr>
        <w:t xml:space="preserve">AI Ethics Guidelines for China</w:t>
      </w:r>
      <w:r>
        <w:t xml:space="preserve">), ensuring alignment with national values while maintaining technological sovereignty.</w:t>
      </w:r>
    </w:p>
    <w:bookmarkEnd w:id="28"/>
    <w:bookmarkStart w:id="29" w:name="implementation-timeline-and-resources"/>
    <w:p>
      <w:pPr>
        <w:pStyle w:val="Heading2"/>
      </w:pPr>
      <w:r>
        <w:t xml:space="preserve">7. Implementation Timeline and Resources</w:t>
      </w:r>
    </w:p>
    <w:p>
      <w:pPr>
        <w:pStyle w:val="FirstParagraph"/>
      </w:pPr>
      <w:r>
        <w:t xml:space="preserve">A 36-month schedule is proposed, with critical milestones in Beijing:</w:t>
      </w:r>
    </w:p>
    <w:p>
      <w:pPr>
        <w:pStyle w:val="BodyText"/>
      </w:pPr>
      <w:r>
        <w:t xml:space="preserve">Phase</w:t>
      </w:r>
    </w:p>
    <w:p>
      <w:pPr>
        <w:pStyle w:val="BodyText"/>
      </w:pPr>
      <w:r>
        <w:t xml:space="preserve">Key Milestone (Beijing Location)</w:t>
      </w:r>
    </w:p>
    <w:p>
      <w:pPr>
        <w:pStyle w:val="BodyText"/>
      </w:pPr>
      <w:r>
        <w:t xml:space="preserve">Deliverable</w:t>
      </w:r>
    </w:p>
    <w:p>
      <w:pPr>
        <w:pStyle w:val="BodyText"/>
      </w:pPr>
      <w:r>
        <w:t xml:space="preserve">Months 1-6</w:t>
      </w:r>
    </w:p>
    <w:p>
      <w:pPr>
        <w:pStyle w:val="BodyText"/>
      </w:pPr>
      <w:r>
        <w:t xml:space="preserve">Haidian District Innovation Hub Launch</w:t>
      </w:r>
    </w:p>
    <w:p>
      <w:pPr>
        <w:pStyle w:val="BodyText"/>
      </w:pPr>
      <w:r>
        <w:t xml:space="preserve">Risk assessment framework for Beijing urban robotics</w:t>
      </w:r>
    </w:p>
    <w:p>
      <w:pPr>
        <w:pStyle w:val="BodyText"/>
      </w:pPr>
      <w:r>
        <w:t xml:space="preserve">Month 12</w:t>
      </w:r>
    </w:p>
    <w:p>
      <w:pPr>
        <w:pStyle w:val="BodyText"/>
      </w:pPr>
      <w:r>
        <w:t xml:space="preserve">Tsinghua Robotics Lab Verification</w:t>
      </w:r>
    </w:p>
    <w:p>
      <w:pPr>
        <w:pStyle w:val="BodyText"/>
      </w:pPr>
      <w:r>
        <w:t xml:space="preserve">Environmental adaptation module v1.0 (tested in Dongzhimen area)</w:t>
      </w:r>
    </w:p>
    <w:p>
      <w:pPr>
        <w:pStyle w:val="BodyText"/>
      </w:pPr>
      <w:r>
        <w:t xml:space="preserve">Month 24</w:t>
      </w:r>
    </w:p>
    <w:p>
      <w:pPr>
        <w:pStyle w:val="BodyText"/>
      </w:pPr>
      <w:r>
        <w:t xml:space="preserve">Beijing Industrial Development Zone Pilot Deployment</w:t>
      </w:r>
    </w:p>
    <w:p>
      <w:pPr>
        <w:pStyle w:val="BodyText"/>
      </w:pPr>
      <w:r>
        <w:t xml:space="preserve">Cobot system integrated into Yili Group dairy facility</w:t>
      </w:r>
    </w:p>
    <w:bookmarkEnd w:id="29"/>
    <w:bookmarkStart w:id="30" w:name="X6767f10ac566463cbe14f1fe664bf9f4f6c7e7f"/>
    <w:p>
      <w:pPr>
        <w:pStyle w:val="Heading2"/>
      </w:pPr>
      <w:r>
        <w:t xml:space="preserve">8. Conclusion: A Foundation for China's Robotics Future</w:t>
      </w:r>
    </w:p>
    <w:p>
      <w:pPr>
        <w:pStyle w:val="FirstParagraph"/>
      </w:pPr>
      <w:r>
        <w:t xml:space="preserve">This comprehensive</w:t>
      </w:r>
      <w:r>
        <w:t xml:space="preserve"> </w:t>
      </w:r>
      <w:r>
        <w:rPr>
          <w:bCs/>
          <w:b/>
        </w:rPr>
        <w:t xml:space="preserve">Research Proposal</w:t>
      </w:r>
      <w:r>
        <w:t xml:space="preserve"> </w:t>
      </w:r>
      <w:r>
        <w:t xml:space="preserve">represents the necessary catalyst to transform Beijing from a robotics consumer market into an innovation engine. The strategic focus on developing locally relevant solutions—rather than merely adopting foreign technology—will empower every</w:t>
      </w:r>
      <w:r>
        <w:t xml:space="preserve"> </w:t>
      </w:r>
      <w:r>
        <w:rPr>
          <w:bCs/>
          <w:b/>
        </w:rPr>
        <w:t xml:space="preserve">Robotics Engineer</w:t>
      </w:r>
      <w:r>
        <w:t xml:space="preserve"> </w:t>
      </w:r>
      <w:r>
        <w:t xml:space="preserve">working in China Beijing to contribute directly to national technological independence. By embedding our research within Beijing's existing infrastructure and talent ecosystem, we establish a replicable model for China's broader robotics development strategy. As the capital city positions itself as the "Silicon Valley of Robotics," this project will deliver not only technical breakthroughs but also a sustainable pipeline of engineering leadership essential for China's future economic competitiveness. The success of this initiative in Beijing will set the standard for all industrial robotics advancement across China, proving that context-specific innovation is the true path to global leadership.</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Innovations in China Beijing</dc:title>
  <dc:creator/>
  <dc:language>en</dc:language>
  <cp:keywords/>
  <dcterms:created xsi:type="dcterms:W3CDTF">2026-07-14T02:48:47Z</dcterms:created>
  <dcterms:modified xsi:type="dcterms:W3CDTF">2026-07-14T02:48:47Z</dcterms:modified>
</cp:coreProperties>
</file>

<file path=docProps/custom.xml><?xml version="1.0" encoding="utf-8"?>
<Properties xmlns="http://schemas.openxmlformats.org/officeDocument/2006/custom-properties" xmlns:vt="http://schemas.openxmlformats.org/officeDocument/2006/docPropsVTypes"/>
</file>