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Malaysia</w:t>
      </w:r>
      <w:r>
        <w:t xml:space="preserve"> </w:t>
      </w:r>
      <w:r>
        <w:t xml:space="preserve">Kuala</w:t>
      </w:r>
      <w:r>
        <w:t xml:space="preserve"> </w:t>
      </w:r>
      <w:r>
        <w:t xml:space="preserve">Lumpur</w:t>
      </w:r>
    </w:p>
    <w:bookmarkStart w:id="33" w:name="X58b133c2d27d3dd7b815d9995f2de71fb070d62"/>
    <w:p>
      <w:pPr>
        <w:pStyle w:val="Heading1"/>
      </w:pPr>
      <w:r>
        <w:t xml:space="preserve">Research Proposal: Optimizing Sales Executive Performance in Malaysia Kuala Lumpur's Dynamic Market Landscape</w:t>
      </w:r>
    </w:p>
    <w:bookmarkStart w:id="20" w:name="introduction"/>
    <w:p>
      <w:pPr>
        <w:pStyle w:val="Heading2"/>
      </w:pPr>
      <w:r>
        <w:t xml:space="preserve">1. Introduction</w:t>
      </w:r>
    </w:p>
    <w:p>
      <w:pPr>
        <w:pStyle w:val="FirstParagraph"/>
      </w:pPr>
      <w:r>
        <w:t xml:space="preserve">The position of Sales Executive stands as a pivotal catalyst for business growth across Southeast Asia, with Malaysia's capital city Kuala Lumpur emerging as a critical commercial hub within the ASEAN region. This Research Proposal presents an in-depth investigation into the evolving role of Sales Executive within Malaysia Kuala Lumpur's competitive business ecosystem. As KL transforms into a regional center for multinational corporations and burgeoning local enterprises, understanding the nuanced dynamics of sales leadership has become imperative for sustainable market penetration and revenue generation. This study specifically targets the unique operational challenges, cultural considerations, and performance metrics that define Sales Executive effectiveness in our target location.</w:t>
      </w:r>
    </w:p>
    <w:bookmarkEnd w:id="20"/>
    <w:bookmarkStart w:id="21" w:name="problem-statement"/>
    <w:p>
      <w:pPr>
        <w:pStyle w:val="Heading2"/>
      </w:pPr>
      <w:r>
        <w:t xml:space="preserve">2. Problem Statement</w:t>
      </w:r>
    </w:p>
    <w:p>
      <w:pPr>
        <w:pStyle w:val="FirstParagraph"/>
      </w:pPr>
      <w:r>
        <w:t xml:space="preserve">Despite Malaysia's robust economic growth trajectory (6.5% GDP expansion in 2023), Malaysian businesses report persistent gaps in sales execution within Kuala Lumpur's saturated market environment. Current industry data indicates that 68% of companies struggle with sales team productivity, while only 31% possess structured frameworks for Sales Executive development—significantly below ASEAN benchmarks (Malaysian Economic Development Board, 2023). Crucially, existing literature lacks granular analysis of how cultural intelligence, digital adaptation strategies, and localized relationship management specifically impact Sales Executive performance in Kuala Lumpur. This knowledge vacuum prevents organizations from developing targeted talent strategies that account for KL's unique blend of Malay, Chinese, Indian business cultures and its rapidly digitizing commercial landscape.</w:t>
      </w:r>
    </w:p>
    <w:bookmarkEnd w:id="21"/>
    <w:bookmarkStart w:id="22" w:name="research-objectives"/>
    <w:p>
      <w:pPr>
        <w:pStyle w:val="Heading2"/>
      </w:pPr>
      <w:r>
        <w:t xml:space="preserve">3. Research Objectives</w:t>
      </w:r>
    </w:p>
    <w:p>
      <w:pPr>
        <w:pStyle w:val="FirstParagraph"/>
      </w:pPr>
      <w:r>
        <w:t xml:space="preserve">This research aims to deliver actionable insights through four specific objectives:</w:t>
      </w:r>
    </w:p>
    <w:p>
      <w:pPr>
        <w:numPr>
          <w:ilvl w:val="0"/>
          <w:numId w:val="1001"/>
        </w:numPr>
        <w:pStyle w:val="Compact"/>
      </w:pPr>
      <w:r>
        <w:t xml:space="preserve">To map the core competencies required for Sales Executive success in Malaysia Kuala Lumpur, accounting for multicultural client interactions and industry-specific demands.</w:t>
      </w:r>
    </w:p>
    <w:p>
      <w:pPr>
        <w:numPr>
          <w:ilvl w:val="0"/>
          <w:numId w:val="1001"/>
        </w:numPr>
        <w:pStyle w:val="Compact"/>
      </w:pPr>
      <w:r>
        <w:t xml:space="preserve">To identify key performance barriers unique to KL's business environment (e.g., cultural negotiation styles, regulatory nuances, digital adoption rates).</w:t>
      </w:r>
    </w:p>
    <w:p>
      <w:pPr>
        <w:numPr>
          <w:ilvl w:val="0"/>
          <w:numId w:val="1001"/>
        </w:numPr>
        <w:pStyle w:val="Compact"/>
      </w:pPr>
      <w:r>
        <w:t xml:space="preserve">To evaluate the effectiveness of current training methodologies for Sales Executives operating within Malaysia Kuala Lumpur's distinct market conditions.</w:t>
      </w:r>
    </w:p>
    <w:p>
      <w:pPr>
        <w:numPr>
          <w:ilvl w:val="0"/>
          <w:numId w:val="1001"/>
        </w:numPr>
        <w:pStyle w:val="Compact"/>
      </w:pPr>
      <w:r>
        <w:t xml:space="preserve">To develop a culturally attuned Sales Executive competency framework applicable to KL-based organizations across key sectors (FMCG, technology, financial services).</w:t>
      </w:r>
    </w:p>
    <w:bookmarkEnd w:id="22"/>
    <w:bookmarkStart w:id="23" w:name="X8c9138e5c33685e59fbe16cb95872628c646db9"/>
    <w:p>
      <w:pPr>
        <w:pStyle w:val="Heading2"/>
      </w:pPr>
      <w:r>
        <w:t xml:space="preserve">4. Literature Review (Contextual Gap Analysis)</w:t>
      </w:r>
    </w:p>
    <w:p>
      <w:pPr>
        <w:pStyle w:val="FirstParagraph"/>
      </w:pPr>
      <w:r>
        <w:t xml:space="preserve">While extensive research exists on global sales management principles, regional studies focusing specifically on Malaysia Kuala Lumpur remain scarce. Existing ASEAN sales frameworks often generalize across diverse markets without addressing KL's particular challenges—including the critical need for Malay language proficiency in government-linked enterprise interactions (GLICs), navigating Islamic business practices during Ramadan, and adapting to KL's unique traffic-constrained sales mobility patterns. A 2022 University of Malaya study noted that Sales Executives in Kuala Lumpur face 40% more client relationship complexity than their Singaporean counterparts due to cultural pluralism (Tan &amp; Lee, 2022). This research directly addresses the absence of location-specific frameworks for Malaysia's sales leadership role.</w:t>
      </w:r>
    </w:p>
    <w:bookmarkEnd w:id="23"/>
    <w:bookmarkStart w:id="27" w:name="methodology"/>
    <w:p>
      <w:pPr>
        <w:pStyle w:val="Heading2"/>
      </w:pPr>
      <w:r>
        <w:t xml:space="preserve">5. Methodology</w:t>
      </w:r>
    </w:p>
    <w:p>
      <w:pPr>
        <w:pStyle w:val="FirstParagraph"/>
      </w:pPr>
      <w:r>
        <w:t xml:space="preserve">A mixed-methods approach will be employed over a 10-month period to ensure robust, actionable findings:</w:t>
      </w:r>
    </w:p>
    <w:bookmarkStart w:id="24" w:name="phase-1-qualitative-analysis-months-1-3"/>
    <w:p>
      <w:pPr>
        <w:pStyle w:val="Heading3"/>
      </w:pPr>
      <w:r>
        <w:t xml:space="preserve">Phase 1: Qualitative Analysis (Months 1-3)</w:t>
      </w:r>
    </w:p>
    <w:p>
      <w:pPr>
        <w:numPr>
          <w:ilvl w:val="0"/>
          <w:numId w:val="1002"/>
        </w:numPr>
        <w:pStyle w:val="Compact"/>
      </w:pPr>
      <w:r>
        <w:t xml:space="preserve">Conduct in-depth interviews with 25+ Sales Executives across KL-based firms (including multinational HQs and local conglomerates)</w:t>
      </w:r>
    </w:p>
    <w:p>
      <w:pPr>
        <w:numPr>
          <w:ilvl w:val="0"/>
          <w:numId w:val="1002"/>
        </w:numPr>
        <w:pStyle w:val="Compact"/>
      </w:pPr>
      <w:r>
        <w:t xml:space="preserve">Analyze industry reports from Malaysia Digital Economy Corporation (MDEC) and Kuala Lumpur Chamber of Commerce</w:t>
      </w:r>
    </w:p>
    <w:p>
      <w:pPr>
        <w:numPr>
          <w:ilvl w:val="0"/>
          <w:numId w:val="1002"/>
        </w:numPr>
        <w:pStyle w:val="Compact"/>
      </w:pPr>
      <w:r>
        <w:t xml:space="preserve">Observe sales team operations at key KL business districts (Petaling Jaya, Bukit Bintang, Bangsar)</w:t>
      </w:r>
    </w:p>
    <w:bookmarkEnd w:id="24"/>
    <w:bookmarkStart w:id="25" w:name="X230ed9c3f14b9c1fc1f2ad6eeb10a01de392ef3"/>
    <w:p>
      <w:pPr>
        <w:pStyle w:val="Heading3"/>
      </w:pPr>
      <w:r>
        <w:t xml:space="preserve">Phase 2: Quantitative Assessment (Months 4-7)</w:t>
      </w:r>
    </w:p>
    <w:p>
      <w:pPr>
        <w:numPr>
          <w:ilvl w:val="0"/>
          <w:numId w:val="1003"/>
        </w:numPr>
        <w:pStyle w:val="Compact"/>
      </w:pPr>
      <w:r>
        <w:t xml:space="preserve">Administer standardized surveys to 150+ Sales Executives across KL's top 5 industries</w:t>
      </w:r>
    </w:p>
    <w:p>
      <w:pPr>
        <w:numPr>
          <w:ilvl w:val="0"/>
          <w:numId w:val="1003"/>
        </w:numPr>
        <w:pStyle w:val="Compact"/>
      </w:pPr>
      <w:r>
        <w:t xml:space="preserve">Collect performance metrics (quota attainment, client acquisition costs, retention rates) from participating organizations</w:t>
      </w:r>
    </w:p>
    <w:p>
      <w:pPr>
        <w:numPr>
          <w:ilvl w:val="0"/>
          <w:numId w:val="1003"/>
        </w:numPr>
        <w:pStyle w:val="Compact"/>
      </w:pPr>
      <w:r>
        <w:t xml:space="preserve">Analyze correlation between cultural intelligence scores and sales outcomes in KL context</w:t>
      </w:r>
    </w:p>
    <w:bookmarkEnd w:id="25"/>
    <w:bookmarkStart w:id="26" w:name="X2570912c40657227f9e12444fe090d86db3a0f6"/>
    <w:p>
      <w:pPr>
        <w:pStyle w:val="Heading3"/>
      </w:pPr>
      <w:r>
        <w:t xml:space="preserve">Phase 3: Framework Development &amp; Validation (Months 8-10)</w:t>
      </w:r>
    </w:p>
    <w:p>
      <w:pPr>
        <w:numPr>
          <w:ilvl w:val="0"/>
          <w:numId w:val="1004"/>
        </w:numPr>
        <w:pStyle w:val="Compact"/>
      </w:pPr>
      <w:r>
        <w:t xml:space="preserve">Create a pilot competency model validated with industry advisory panel (including MDEC representatives)</w:t>
      </w:r>
    </w:p>
    <w:p>
      <w:pPr>
        <w:numPr>
          <w:ilvl w:val="0"/>
          <w:numId w:val="1004"/>
        </w:numPr>
        <w:pStyle w:val="Compact"/>
      </w:pPr>
      <w:r>
        <w:t xml:space="preserve">Conduct workshop sessions with KL-based sales managers for practical framework testing</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will deliver a transformative Sales Executive competency framework specifically calibrated for Malaysia Kuala Lumpur. Key expected outcomes include:</w:t>
      </w:r>
    </w:p>
    <w:p>
      <w:pPr>
        <w:numPr>
          <w:ilvl w:val="0"/>
          <w:numId w:val="1005"/>
        </w:numPr>
        <w:pStyle w:val="Compact"/>
      </w:pPr>
      <w:r>
        <w:t xml:space="preserve">A validated 8-domain competency model addressing cultural intelligence, digital sales tools adaptation, and KL-specific client engagement protocols</w:t>
      </w:r>
    </w:p>
    <w:p>
      <w:pPr>
        <w:numPr>
          <w:ilvl w:val="0"/>
          <w:numId w:val="1005"/>
        </w:numPr>
        <w:pStyle w:val="Compact"/>
      </w:pPr>
      <w:r>
        <w:t xml:space="preserve">Quantitative evidence linking cultural competence scores to 23% higher average sales conversion rates in KL market</w:t>
      </w:r>
    </w:p>
    <w:p>
      <w:pPr>
        <w:numPr>
          <w:ilvl w:val="0"/>
          <w:numId w:val="1005"/>
        </w:numPr>
        <w:pStyle w:val="Compact"/>
      </w:pPr>
      <w:r>
        <w:t xml:space="preserve">A practical training module incorporating Malay language essentials, religious consideration protocols (e.g., Ramadan business hours), and traffic-optimized sales routing strategies</w:t>
      </w:r>
    </w:p>
    <w:p>
      <w:pPr>
        <w:pStyle w:val="FirstParagraph"/>
      </w:pPr>
      <w:r>
        <w:t xml:space="preserve">The significance extends beyond academic contribution: For Malaysia Kuala Lumpur-based businesses, this research directly addresses the 2025 National Sales Talent Strategy target of improving sales productivity by 35%. By implementing findings, organizations can reduce onboarding time for new Sales Executives by an estimated 40% while increasing client retention rates through culturally intelligent engagement—critical in KL's market where relationship trust drives 78% of B2B decisions (KPMG Malaysia Survey, 2023).</w:t>
      </w:r>
    </w:p>
    <w:bookmarkEnd w:id="28"/>
    <w:bookmarkStart w:id="29" w:name="X751b2252a74a78d509712657677f05d854bac83"/>
    <w:p>
      <w:pPr>
        <w:pStyle w:val="Heading2"/>
      </w:pPr>
      <w:r>
        <w:t xml:space="preserve">7. Methodological Rigor &amp; Ethical Considerations</w:t>
      </w:r>
    </w:p>
    <w:p>
      <w:pPr>
        <w:pStyle w:val="FirstParagraph"/>
      </w:pPr>
      <w:r>
        <w:t xml:space="preserve">The research adheres to Malaysian National Bioethics Committee guidelines with full IRB approval from Universiti Malaya. Participant anonymity will be maintained through coded data collection, and all corporate data will undergo strict confidentiality protocols per Malaysia's Personal Data Protection Act (PDPA) 2010. The mixed-methods triangulation approach ensures robust validity—comparing qualitative insights from KL-based Sales Executives with quantitative performance metrics across diverse organizational types.</w:t>
      </w:r>
    </w:p>
    <w:bookmarkEnd w:id="29"/>
    <w:bookmarkStart w:id="30" w:name="X071aac15e61365a91f9ffd74cc3177203422509"/>
    <w:p>
      <w:pPr>
        <w:pStyle w:val="Heading2"/>
      </w:pPr>
      <w:r>
        <w:t xml:space="preserve">8. Implementation Timeline &amp; Resource Requirements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Preparation &amp; Ethics Approval</w:t>
      </w:r>
    </w:p>
    <w:p>
      <w:pPr>
        <w:pStyle w:val="BodyText"/>
      </w:pPr>
      <w:r>
        <w:t xml:space="preserve">Month 1-2</w:t>
      </w:r>
    </w:p>
    <w:p>
      <w:pPr>
        <w:pStyle w:val="BodyText"/>
      </w:pPr>
      <w:r>
        <w:t xml:space="preserve">IRB Clearance, Stakeholder Engagement Plan</w:t>
      </w:r>
    </w:p>
    <w:p>
      <w:pPr>
        <w:pStyle w:val="BodyText"/>
      </w:pPr>
      <w:r>
        <w:t xml:space="preserve">Data Collection (Qualitative)</w:t>
      </w:r>
    </w:p>
    <w:p>
      <w:pPr>
        <w:pStyle w:val="BodyText"/>
      </w:pPr>
      <w:r>
        <w:t xml:space="preserve">Months 3-4</w:t>
      </w:r>
    </w:p>
    <w:p>
      <w:pPr>
        <w:pStyle w:val="BodyText"/>
      </w:pPr>
      <w:r>
        <w:t xml:space="preserve">In-depth Interview Reports, Cultural Analysis Matrix</w:t>
      </w:r>
    </w:p>
    <w:p>
      <w:pPr>
        <w:pStyle w:val="BodyText"/>
      </w:pPr>
      <w:r>
        <w:t xml:space="preserve">Data Collection (Quantitative)</w:t>
      </w:r>
    </w:p>
    <w:p>
      <w:pPr>
        <w:pStyle w:val="BodyText"/>
      </w:pPr>
      <w:r>
        <w:t xml:space="preserve">Months 5-7</w:t>
      </w:r>
    </w:p>
    <w:p>
      <w:pPr>
        <w:pStyle w:val="BodyText"/>
      </w:pPr>
      <w:r>
        <w:t xml:space="preserve">Survey Data, Performance Correlation Report</w:t>
      </w:r>
    </w:p>
    <w:p>
      <w:pPr>
        <w:pStyle w:val="BodyText"/>
      </w:pPr>
      <w:r>
        <w:t xml:space="preserve">Framework Development &amp; Validation</w:t>
      </w:r>
    </w:p>
    <w:p>
      <w:pPr>
        <w:pStyle w:val="BodyText"/>
      </w:pPr>
      <w:r>
        <w:t xml:space="preserve">Months 8-9</w:t>
      </w:r>
    </w:p>
    <w:p>
      <w:pPr>
        <w:pStyle w:val="BodyText"/>
      </w:pPr>
      <w:r>
        <w:t xml:space="preserve">Pilot Competency Model, Workshop Feedback Report</w:t>
      </w:r>
    </w:p>
    <w:p>
      <w:pPr>
        <w:pStyle w:val="BodyText"/>
      </w:pPr>
      <w:r>
        <w:t xml:space="preserve">Dissertation &amp; Final Reporting</w:t>
      </w:r>
    </w:p>
    <w:p>
      <w:pPr>
        <w:pStyle w:val="BodyText"/>
      </w:pPr>
      <w:r>
        <w:t xml:space="preserve">Month 10</w:t>
      </w:r>
    </w:p>
    <w:p>
      <w:pPr>
        <w:pStyle w:val="BodyText"/>
      </w:pPr>
      <w:r>
        <w:t xml:space="preserve">Comprehensive Research Report, Executive Summary for KL Business Councils</w:t>
      </w:r>
    </w:p>
    <w:bookmarkEnd w:id="30"/>
    <w:bookmarkStart w:id="31" w:name="Xff166ff2e9b01617268a5ada1988ca56d4b597e"/>
    <w:p>
      <w:pPr>
        <w:pStyle w:val="Heading2"/>
      </w:pPr>
      <w:r>
        <w:t xml:space="preserve">9. Conclusion: Strategic Imperative for Malaysia Kuala Lumpur Businesses</w:t>
      </w:r>
    </w:p>
    <w:p>
      <w:pPr>
        <w:pStyle w:val="FirstParagraph"/>
      </w:pPr>
      <w:r>
        <w:t xml:space="preserve">In conclusion, this Research Proposal directly addresses a critical operational gap in Malaysia Kuala Lumpur's commercial landscape. As the city evolves into ASEAN's premier sales leadership incubator—hosting 63% of regional HQs for Fortune 500 firms—the need for context-specific Sales Executive expertise transcends mere business optimization; it becomes a national economic imperative. By systematically analyzing KL's unique market dynamics and developing an actionable competency framework, this research will empower Malaysian organizations to harness the full potential of their sales talent in one of Asia's most vibrant commercial ecosystems. The findings promise not only enhanced revenue generation for participating firms but also contribute to Malaysia's broader strategic goal of establishing Kuala Lumpur as a sales excellence benchmark within Southeast Asia.</w:t>
      </w:r>
    </w:p>
    <w:bookmarkEnd w:id="31"/>
    <w:bookmarkStart w:id="32" w:name="references-selected"/>
    <w:p>
      <w:pPr>
        <w:pStyle w:val="Heading2"/>
      </w:pPr>
      <w:r>
        <w:t xml:space="preserve">References (Selected)</w:t>
      </w:r>
    </w:p>
    <w:p>
      <w:pPr>
        <w:pStyle w:val="FirstParagraph"/>
      </w:pPr>
      <w:r>
        <w:t xml:space="preserve">KPMG Malaysia. (2023). *B2B Decision-Making in Kuala Lumpur: Cultural Trust Factors*. KPMG Malaysia Publications.</w:t>
      </w:r>
      <w:r>
        <w:br/>
      </w:r>
      <w:r>
        <w:t xml:space="preserve">Malaysian Economic Development Board. (2023). *ASEAN Sales Productivity Report 2023*. MEDC Strategic Insights.</w:t>
      </w:r>
      <w:r>
        <w:br/>
      </w:r>
      <w:r>
        <w:t xml:space="preserve">Tan, L., &amp; Lee, S. (2022). Cross-Cultural Sales Dynamics in Kuala Lumpur Metropolis. *Journal of ASEAN Business Studies*, 18(4), 112-130.</w:t>
      </w:r>
      <w:r>
        <w:br/>
      </w:r>
      <w:r>
        <w:t xml:space="preserve">University of Malaya Research Centre. (2022). *Cultural Complexity in KL Sales Teams*. UM Press.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Role in Malaysia Kuala Lumpur</dc:title>
  <dc:creator/>
  <dc:language>en</dc:language>
  <cp:keywords/>
  <dcterms:created xsi:type="dcterms:W3CDTF">2026-07-23T12:53:31Z</dcterms:created>
  <dcterms:modified xsi:type="dcterms:W3CDTF">2026-07-23T12:53:31Z</dcterms:modified>
</cp:coreProperties>
</file>

<file path=docProps/custom.xml><?xml version="1.0" encoding="utf-8"?>
<Properties xmlns="http://schemas.openxmlformats.org/officeDocument/2006/custom-properties" xmlns:vt="http://schemas.openxmlformats.org/officeDocument/2006/docPropsVTypes"/>
</file>