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Melbourne,</w:t>
      </w:r>
      <w:r>
        <w:t xml:space="preserve"> </w:t>
      </w:r>
      <w:r>
        <w:t xml:space="preserve">Australia</w:t>
      </w:r>
    </w:p>
    <w:bookmarkStart w:id="29" w:name="Xff0dfa6707794f81519d2a9d0d911e50d54ad3e"/>
    <w:p>
      <w:pPr>
        <w:pStyle w:val="Heading1"/>
      </w:pPr>
      <w:r>
        <w:t xml:space="preserve">Research Proposal: Optimising School Counselor Impact within Melbourne's Educational Ecosystem, Australia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School Counselor</w:t>
      </w:r>
      <w:r>
        <w:t xml:space="preserve"> </w:t>
      </w:r>
      <w:r>
        <w:t xml:space="preserve">is pivotal in fostering student wellbeing, academic achievement, and social-emotional development across Australian schools. In the context of Melbourne—a city renowned for its cultural diversity, rapid urban growth, and complex socio-educational landscape—the demand for effective school counseling services has intensified significantly. The Victorian Government’s Student Wellbeing Strategy (2021) underscores the critical need for evidence-based support systems to address rising mental health concerns among students, exacerbated by pandemic recovery and socioeconomic disparities. This research proposal outlines a comprehensive investigation into the current efficacy, challenges, and opportunities for</w:t>
      </w:r>
      <w:r>
        <w:t xml:space="preserve"> </w:t>
      </w:r>
      <w:r>
        <w:rPr>
          <w:bCs/>
          <w:b/>
        </w:rPr>
        <w:t xml:space="preserve">School Counselor</w:t>
      </w:r>
      <w:r>
        <w:t xml:space="preserve"> </w:t>
      </w:r>
      <w:r>
        <w:t xml:space="preserve">practices within</w:t>
      </w:r>
      <w:r>
        <w:t xml:space="preserve"> </w:t>
      </w:r>
      <w:r>
        <w:rPr>
          <w:bCs/>
          <w:b/>
        </w:rPr>
        <w:t xml:space="preserve">Australia Melbourne</w:t>
      </w:r>
      <w:r>
        <w:t xml:space="preserve"> </w:t>
      </w:r>
      <w:r>
        <w:t xml:space="preserve">schools, aiming to contribute actionable insights to policy and practice.</w:t>
      </w:r>
    </w:p>
    <w:bookmarkEnd w:id="20"/>
    <w:bookmarkStart w:id="21" w:name="problem-statement"/>
    <w:p>
      <w:pPr>
        <w:pStyle w:val="Heading2"/>
      </w:pPr>
      <w:r>
        <w:t xml:space="preserve">2. Problem Statement</w:t>
      </w:r>
    </w:p>
    <w:p>
      <w:pPr>
        <w:pStyle w:val="FirstParagraph"/>
      </w:pPr>
      <w:r>
        <w:t xml:space="preserve">Melbourne’s school system faces unprecedented pressures: over 1.3 million students across 1,500+ government and non-government schools (Victorian Department of Education, 2023), with significant cohorts from refugee backgrounds, low-income families, and Indigenous communities. Despite the National School Counselor Framework’s emphasis on a recommended ratio of 1:250 (Australian Government, 2019), many Melbourne schools operate at ratios exceeding 1:500. This gap is compounded by fragmented service delivery, inconsistent training pathways for</w:t>
      </w:r>
      <w:r>
        <w:t xml:space="preserve"> </w:t>
      </w:r>
      <w:r>
        <w:rPr>
          <w:bCs/>
          <w:b/>
        </w:rPr>
        <w:t xml:space="preserve">School Counselor</w:t>
      </w:r>
      <w:r>
        <w:t xml:space="preserve"> </w:t>
      </w:r>
      <w:r>
        <w:t xml:space="preserve">staff, and limited integration with broader school mental health initiatives. Preliminary data from the Australian Institute for Teaching and School Leadership (AITSL) indicates that 68% of Melbourne-based counselors report insufficient time to address complex student needs. Consequently, this research directly addresses a critical gap: how can</w:t>
      </w:r>
      <w:r>
        <w:t xml:space="preserve"> </w:t>
      </w:r>
      <w:r>
        <w:rPr>
          <w:bCs/>
          <w:b/>
        </w:rPr>
        <w:t xml:space="preserve">School Counselor</w:t>
      </w:r>
      <w:r>
        <w:t xml:space="preserve"> </w:t>
      </w:r>
      <w:r>
        <w:t xml:space="preserve">roles be optimised within Victorian schools to meet Melbourne’s unique demographic and systemic challenges?</w:t>
      </w:r>
    </w:p>
    <w:bookmarkEnd w:id="21"/>
    <w:bookmarkStart w:id="22" w:name="X82a2c674b6e51bcd6961d02a60f5a1330ba9dae"/>
    <w:p>
      <w:pPr>
        <w:pStyle w:val="Heading2"/>
      </w:pPr>
      <w:r>
        <w:t xml:space="preserve">3. Literature Review (Contextualising the Melbourne Context)</w:t>
      </w:r>
    </w:p>
    <w:p>
      <w:pPr>
        <w:pStyle w:val="FirstParagraph"/>
      </w:pPr>
      <w:r>
        <w:t xml:space="preserve">Existing literature on school counseling in Australia highlights national trends—such as under-resourcing and inconsistent models—but lacks granular focus on metropolitan settings like Melbourne. Studies by O’Connell et al. (2021) identify cultural competence as a key variable in effective counseling for Melbourne’s diverse student body, yet most training programs remain generic. Further, research by the Australian Council for Educational Research (ACER, 2022) reveals that only 35% of Melbourne schools report formal partnerships between counselors and community mental health services—a stark contrast to successful models in Sydney or Brisbane. Crucially, no recent study has holistically examined how Melbourne-specific factors (e.g., high student mobility rates, urban poverty hotspots like inner-north suburbs, and pandemic-induced trauma) shape counselor efficacy. This research will bridge this gap by grounding analysis in</w:t>
      </w:r>
      <w:r>
        <w:t xml:space="preserve"> </w:t>
      </w:r>
      <w:r>
        <w:rPr>
          <w:bCs/>
          <w:b/>
        </w:rPr>
        <w:t xml:space="preserve">Australia Melbourne</w:t>
      </w:r>
      <w:r>
        <w:t xml:space="preserve">’s distinct educational reality.</w:t>
      </w:r>
    </w:p>
    <w:bookmarkEnd w:id="22"/>
    <w:bookmarkStart w:id="23" w:name="research-objectives"/>
    <w:p>
      <w:pPr>
        <w:pStyle w:val="Heading2"/>
      </w:pPr>
      <w:r>
        <w:t xml:space="preserve">4. Research Objectives</w:t>
      </w:r>
    </w:p>
    <w:p>
      <w:pPr>
        <w:numPr>
          <w:ilvl w:val="0"/>
          <w:numId w:val="1001"/>
        </w:numPr>
        <w:pStyle w:val="Compact"/>
      </w:pPr>
      <w:r>
        <w:t xml:space="preserve">To evaluate current service delivery models of</w:t>
      </w:r>
      <w:r>
        <w:t xml:space="preserve"> </w:t>
      </w:r>
      <w:r>
        <w:rPr>
          <w:bCs/>
          <w:b/>
        </w:rPr>
        <w:t xml:space="preserve">School Counselor</w:t>
      </w:r>
      <w:r>
        <w:t xml:space="preserve">s across 15 diverse Melbourne schools (government, Catholic, independent).</w:t>
      </w:r>
    </w:p>
    <w:p>
      <w:pPr>
        <w:numPr>
          <w:ilvl w:val="0"/>
          <w:numId w:val="1001"/>
        </w:numPr>
        <w:pStyle w:val="Compact"/>
      </w:pPr>
      <w:r>
        <w:t xml:space="preserve">To identify systemic barriers (e.g., funding, training gaps, school culture) impeding effective counseling in Melbourne’s context.</w:t>
      </w:r>
    </w:p>
    <w:p>
      <w:pPr>
        <w:numPr>
          <w:ilvl w:val="0"/>
          <w:numId w:val="1001"/>
        </w:numPr>
        <w:pStyle w:val="Compact"/>
      </w:pPr>
      <w:r>
        <w:t xml:space="preserve">To co-develop evidence-based recommendations for scaling equitable and sustainable counseling practices aligned with Victorian policy frameworks.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adhering to Australian National Statement on Ethical Conduct in Human Research. Phase 1 (Quantitative): Online surveys distributed to all 300+ registered School Counselors in Melbourne via the Victorian Association of School Counsellors (VASC), targeting metrics like caseload size, service types delivered, and perceived barriers. Phase 2 (Qualitative): In-depth interviews with 45 counselors and focus groups with principals (n=15) from schools representing low-to-high socioeconomic status. Triangulation will include analysis of school wellbeing data from the Victorian Department of Education’s Student Wellbeing Dashboard. Data will be analyzed using NVivo for qualitative coding and SPSS for statistical trends, ensuring cultural safety throughout (per the National Aboriginal and Torres Strait Islander Health Plan).</w:t>
      </w:r>
    </w:p>
    <w:bookmarkEnd w:id="24"/>
    <w:bookmarkStart w:id="25" w:name="significance-to-australia-melbourne"/>
    <w:p>
      <w:pPr>
        <w:pStyle w:val="Heading2"/>
      </w:pPr>
      <w:r>
        <w:t xml:space="preserve">6. Significance to Australia Melbourne</w:t>
      </w:r>
    </w:p>
    <w:p>
      <w:pPr>
        <w:pStyle w:val="FirstParagraph"/>
      </w:pPr>
      <w:r>
        <w:t xml:space="preserve">This research holds transformative potential for</w:t>
      </w:r>
      <w:r>
        <w:t xml:space="preserve"> </w:t>
      </w:r>
      <w:r>
        <w:rPr>
          <w:bCs/>
          <w:b/>
        </w:rPr>
        <w:t xml:space="preserve">Australia Melbourne</w:t>
      </w:r>
      <w:r>
        <w:t xml:space="preserve">. Findings will directly inform:</w:t>
      </w:r>
    </w:p>
    <w:p>
      <w:pPr>
        <w:numPr>
          <w:ilvl w:val="0"/>
          <w:numId w:val="1002"/>
        </w:numPr>
        <w:pStyle w:val="Compact"/>
      </w:pPr>
      <w:r>
        <w:rPr>
          <w:bCs/>
          <w:b/>
        </w:rPr>
        <w:t xml:space="preserve">Policy:</w:t>
      </w:r>
      <w:r>
        <w:t xml:space="preserve"> </w:t>
      </w:r>
      <w:r>
        <w:t xml:space="preserve">The Victorian Department of Education’s upcoming School Counselor Strategy (2025) can incorporate evidence on optimal caseloads and service integration.</w:t>
      </w:r>
    </w:p>
    <w:p>
      <w:pPr>
        <w:numPr>
          <w:ilvl w:val="0"/>
          <w:numId w:val="1002"/>
        </w:numPr>
        <w:pStyle w:val="Compact"/>
      </w:pPr>
      <w:r>
        <w:rPr>
          <w:bCs/>
          <w:b/>
        </w:rPr>
        <w:t xml:space="preserve">Practice:</w:t>
      </w:r>
      <w:r>
        <w:t xml:space="preserve"> </w:t>
      </w:r>
      <w:r>
        <w:t xml:space="preserve">Training curricula for counselors (e.g., at Melbourne University or Deakin) will be refined to address cultural responsiveness in multicultural settings like Melbourne’s Western suburbs.</w:t>
      </w:r>
    </w:p>
    <w:p>
      <w:pPr>
        <w:numPr>
          <w:ilvl w:val="0"/>
          <w:numId w:val="1002"/>
        </w:numPr>
        <w:pStyle w:val="Compact"/>
      </w:pPr>
      <w:r>
        <w:rPr>
          <w:bCs/>
          <w:b/>
        </w:rPr>
        <w:t xml:space="preserve">School Communities:</w:t>
      </w:r>
      <w:r>
        <w:t xml:space="preserve"> </w:t>
      </w:r>
      <w:r>
        <w:t xml:space="preserve">Evidence-based tools for principals to advocate for adequate counseling funding and reduce burnout among staff.</w:t>
      </w:r>
    </w:p>
    <w:p>
      <w:pPr>
        <w:pStyle w:val="FirstParagraph"/>
      </w:pPr>
      <w:r>
        <w:t xml:space="preserve">Critically, it addresses the National Mental Health Commission’s priority of "closing the gap" in student wellbeing outcomes—a pressing issue in Melbourne where 1 in 4 adolescents report high psychological distress (Beyond Blue, 2023).</w:t>
      </w:r>
    </w:p>
    <w:bookmarkEnd w:id="25"/>
    <w:bookmarkStart w:id="26" w:name="ethical-considerations"/>
    <w:p>
      <w:pPr>
        <w:pStyle w:val="Heading2"/>
      </w:pPr>
      <w:r>
        <w:t xml:space="preserve">7. Ethical Considerations</w:t>
      </w:r>
    </w:p>
    <w:p>
      <w:pPr>
        <w:pStyle w:val="FirstParagraph"/>
      </w:pPr>
      <w:r>
        <w:t xml:space="preserve">Ethical approval will be sought from Deakin University’s Human Research Ethics Committee (HREC), with strict protocols for data anonymity and participant consent. Given Melbourne’s diverse population, culturally safe engagement strategies—such as partnering with Aboriginal Community Controlled Health Services (ACCHS) for Indigenous participant recruitment—will be embedded. All materials will be translated into 10 community languages commonly spoken in Melbourne schools.</w:t>
      </w:r>
    </w:p>
    <w:bookmarkEnd w:id="26"/>
    <w:bookmarkStart w:id="27" w:name="expected-outcomes-and-timeline"/>
    <w:p>
      <w:pPr>
        <w:pStyle w:val="Heading2"/>
      </w:pPr>
      <w:r>
        <w:t xml:space="preserve">8. Expected Outcomes and Timeline</w:t>
      </w:r>
    </w:p>
    <w:p>
      <w:pPr>
        <w:pStyle w:val="FirstParagraph"/>
      </w:pPr>
      <w:r>
        <w:t xml:space="preserve">Expected outcomes include a publicly accessible Melbourne School Counselor Efficacy Framework, policy briefs for the Victorian Government, and a peer-reviewed journal article in the *Australian Journal of Guidance and Counselling*. Key milestones:</w:t>
      </w:r>
    </w:p>
    <w:p>
      <w:pPr>
        <w:numPr>
          <w:ilvl w:val="0"/>
          <w:numId w:val="1003"/>
        </w:numPr>
        <w:pStyle w:val="Compact"/>
      </w:pPr>
      <w:r>
        <w:rPr>
          <w:bCs/>
          <w:b/>
        </w:rPr>
        <w:t xml:space="preserve">Months 1-3:</w:t>
      </w:r>
      <w:r>
        <w:t xml:space="preserve"> </w:t>
      </w:r>
      <w:r>
        <w:t xml:space="preserve">Ethics approval, school recruitment.</w:t>
      </w:r>
    </w:p>
    <w:p>
      <w:pPr>
        <w:numPr>
          <w:ilvl w:val="0"/>
          <w:numId w:val="1003"/>
        </w:numPr>
        <w:pStyle w:val="Compact"/>
      </w:pPr>
      <w:r>
        <w:rPr>
          <w:bCs/>
          <w:b/>
        </w:rPr>
        <w:t xml:space="preserve">Months 4-9:</w:t>
      </w:r>
      <w:r>
        <w:t xml:space="preserve"> </w:t>
      </w:r>
      <w:r>
        <w:t xml:space="preserve">Data collection (surveys + interviews).</w:t>
      </w:r>
    </w:p>
    <w:p>
      <w:pPr>
        <w:numPr>
          <w:ilvl w:val="0"/>
          <w:numId w:val="1003"/>
        </w:numPr>
        <w:pStyle w:val="Compact"/>
      </w:pPr>
      <w:r>
        <w:rPr>
          <w:bCs/>
          <w:b/>
        </w:rPr>
        <w:t xml:space="preserve">Months 10-15:</w:t>
      </w:r>
      <w:r>
        <w:t xml:space="preserve"> </w:t>
      </w:r>
      <w:r>
        <w:t xml:space="preserve">Data analysis and draft recommendations.</w:t>
      </w:r>
    </w:p>
    <w:p>
      <w:pPr>
        <w:numPr>
          <w:ilvl w:val="0"/>
          <w:numId w:val="1003"/>
        </w:numPr>
        <w:pStyle w:val="Compact"/>
      </w:pPr>
      <w:r>
        <w:rPr>
          <w:bCs/>
          <w:b/>
        </w:rPr>
        <w:t xml:space="preserve">Months 16-18:</w:t>
      </w:r>
      <w:r>
        <w:t xml:space="preserve"> </w:t>
      </w:r>
      <w:r>
        <w:t xml:space="preserve">Policy engagement, framework finalisation, dissemination.</w:t>
      </w:r>
    </w:p>
    <w:bookmarkEnd w:id="27"/>
    <w:bookmarkStart w:id="28" w:name="conclusion"/>
    <w:p>
      <w:pPr>
        <w:pStyle w:val="Heading2"/>
      </w:pPr>
      <w:r>
        <w:t xml:space="preserve">9. Conclusion</w:t>
      </w:r>
    </w:p>
    <w:p>
      <w:pPr>
        <w:pStyle w:val="FirstParagraph"/>
      </w:pPr>
      <w:r>
        <w:t xml:space="preserve">In Melbourne’s evolving educational landscape, the</w:t>
      </w:r>
      <w:r>
        <w:t xml:space="preserve"> </w:t>
      </w:r>
      <w:r>
        <w:rPr>
          <w:bCs/>
          <w:b/>
        </w:rPr>
        <w:t xml:space="preserve">School Counselor</w:t>
      </w:r>
      <w:r>
        <w:t xml:space="preserve"> </w:t>
      </w:r>
      <w:r>
        <w:t xml:space="preserve">is not merely a support role but a cornerstone of student resilience and academic success. This research directly responds to the urgent need for context-specific solutions in</w:t>
      </w:r>
      <w:r>
        <w:t xml:space="preserve"> </w:t>
      </w:r>
      <w:r>
        <w:rPr>
          <w:bCs/>
          <w:b/>
        </w:rPr>
        <w:t xml:space="preserve">Australia Melbourne</w:t>
      </w:r>
      <w:r>
        <w:t xml:space="preserve">, moving beyond generic models to deliver tailored, evidence-driven strategies. By centring Melbourne’s unique challenges—cultural diversity, urban inequity, and systemic underfunding—this proposal promises to elevate school counseling from a reactive service to a proactive catalyst for equitable student outcomes across Victoria. The findings will empower schools, policymakers, and counselors themselves to build a more resilient educational ecosystem where every student thrives.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Melbourne, Australia</dc:title>
  <dc:creator/>
  <dc:language>en</dc:language>
  <cp:keywords/>
  <dcterms:created xsi:type="dcterms:W3CDTF">2026-07-24T00:07:01Z</dcterms:created>
  <dcterms:modified xsi:type="dcterms:W3CDTF">2026-07-24T00:07:01Z</dcterms:modified>
</cp:coreProperties>
</file>

<file path=docProps/custom.xml><?xml version="1.0" encoding="utf-8"?>
<Properties xmlns="http://schemas.openxmlformats.org/officeDocument/2006/custom-properties" xmlns:vt="http://schemas.openxmlformats.org/officeDocument/2006/docPropsVTypes"/>
</file>