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Australia</w:t>
      </w:r>
      <w:r>
        <w:t xml:space="preserve"> </w:t>
      </w:r>
      <w:r>
        <w:t xml:space="preserve">Sydney</w:t>
      </w:r>
    </w:p>
    <w:bookmarkStart w:id="33" w:name="X3ce65e65690ac52392fbc18cc683c82e8f68643"/>
    <w:p>
      <w:pPr>
        <w:pStyle w:val="Heading1"/>
      </w:pPr>
      <w:r>
        <w:t xml:space="preserve">Research Proposal: Advancing Mental Health Support through School Counselors in Australia Sydney</w:t>
      </w:r>
    </w:p>
    <w:bookmarkStart w:id="20" w:name="introduction"/>
    <w:p>
      <w:pPr>
        <w:pStyle w:val="Heading2"/>
      </w:pPr>
      <w:r>
        <w:t xml:space="preserve">1. Introduction</w:t>
      </w:r>
    </w:p>
    <w:p>
      <w:pPr>
        <w:pStyle w:val="FirstParagraph"/>
      </w:pPr>
      <w:r>
        <w:t xml:space="preserve">In contemporary educational landscapes across</w:t>
      </w:r>
      <w:r>
        <w:t xml:space="preserve"> </w:t>
      </w:r>
      <w:r>
        <w:rPr>
          <w:bCs/>
          <w:b/>
        </w:rPr>
        <w:t xml:space="preserve">Australia Sydney</w:t>
      </w:r>
      <w:r>
        <w:t xml:space="preserve">, the role of the School Counselor has evolved from traditional academic advising to a multifaceted position addressing mental health, social-emotional learning, and systemic equity. With rising rates of youth anxiety and depression in New South Wales (NSW), particularly in metropolitan areas like Sydney, there is an urgent need to evaluate and enhance School Counselor practices. This</w:t>
      </w:r>
      <w:r>
        <w:t xml:space="preserve"> </w:t>
      </w:r>
      <w:r>
        <w:rPr>
          <w:bCs/>
          <w:b/>
        </w:rPr>
        <w:t xml:space="preserve">Research Proposal</w:t>
      </w:r>
      <w:r>
        <w:t xml:space="preserve"> </w:t>
      </w:r>
      <w:r>
        <w:t xml:space="preserve">outlines a comprehensive study to investigate the efficacy of current counseling frameworks within Sydney schools, aligning with the Australian government's commitment to mental health initiatives such as the National Mental Health Commission's strategic priorities. The project directly responds to gaps identified in NSW Department of Education reports (2023), which note inconsistent access to counseling services across Sydney’s diverse school communities.</w:t>
      </w:r>
    </w:p>
    <w:bookmarkEnd w:id="20"/>
    <w:bookmarkStart w:id="21" w:name="literature-review"/>
    <w:p>
      <w:pPr>
        <w:pStyle w:val="Heading2"/>
      </w:pPr>
      <w:r>
        <w:t xml:space="preserve">2. Literature Review</w:t>
      </w:r>
    </w:p>
    <w:p>
      <w:pPr>
        <w:pStyle w:val="FirstParagraph"/>
      </w:pPr>
      <w:r>
        <w:t xml:space="preserve">Existing literature on School Counselors in Australia reveals a fragmented evidence base. While the Australian Counseling Association (ACA) emphasizes culturally responsive practice, studies by Dwyer et al. (2019) highlight significant variability in counselor-to-student ratios across Sydney suburbs, with high-need areas often lacking adequate support. Research by O’Sullivan and Liddle (2021) in urban NSW schools identified that only 47% of School Counselors reported sufficient training in trauma-informed care—critical for addressing the surge in complex student needs post-pandemic. Furthermore, no large-scale study has yet examined how Sydney-specific socioeconomic factors (e.g., high immigrant populations, geographic dispersion) influence School Counselor outcomes. This gap necessitates targeted research to inform policy within</w:t>
      </w:r>
      <w:r>
        <w:t xml:space="preserve"> </w:t>
      </w:r>
      <w:r>
        <w:rPr>
          <w:bCs/>
          <w:b/>
        </w:rPr>
        <w:t xml:space="preserve">Australia Sydney</w:t>
      </w:r>
      <w:r>
        <w:t xml:space="preserve">'s unique educational ecosystem.</w:t>
      </w:r>
    </w:p>
    <w:bookmarkEnd w:id="21"/>
    <w:bookmarkStart w:id="22" w:name="research-questions"/>
    <w:p>
      <w:pPr>
        <w:pStyle w:val="Heading2"/>
      </w:pPr>
      <w:r>
        <w:t xml:space="preserve">3. Research Questions</w:t>
      </w:r>
    </w:p>
    <w:p>
      <w:pPr>
        <w:numPr>
          <w:ilvl w:val="0"/>
          <w:numId w:val="1001"/>
        </w:numPr>
        <w:pStyle w:val="Compact"/>
      </w:pPr>
      <w:r>
        <w:t xml:space="preserve">How do current service delivery models of School Counselors in Sydney public schools correlate with student wellbeing outcomes (e.g., academic engagement, attendance, mental health referrals)?</w:t>
      </w:r>
    </w:p>
    <w:p>
      <w:pPr>
        <w:numPr>
          <w:ilvl w:val="0"/>
          <w:numId w:val="1001"/>
        </w:numPr>
        <w:pStyle w:val="Compact"/>
      </w:pPr>
      <w:r>
        <w:t xml:space="preserve">To what extent do contextual factors (socioeconomic status, cultural diversity, school funding) mediate the effectiveness of School Counselor interventions?</w:t>
      </w:r>
    </w:p>
    <w:p>
      <w:pPr>
        <w:numPr>
          <w:ilvl w:val="0"/>
          <w:numId w:val="1001"/>
        </w:numPr>
        <w:pStyle w:val="Compact"/>
      </w:pPr>
      <w:r>
        <w:t xml:space="preserve">What evidence-based strategies can be scaled across Sydney to optimize School Counselor roles in early intervention and crisis management?</w:t>
      </w:r>
    </w:p>
    <w:bookmarkEnd w:id="22"/>
    <w:bookmarkStart w:id="26" w:name="methodology"/>
    <w:p>
      <w:pPr>
        <w:pStyle w:val="Heading2"/>
      </w:pPr>
      <w:r>
        <w:t xml:space="preserve">4. Methodology</w:t>
      </w:r>
    </w:p>
    <w:p>
      <w:pPr>
        <w:pStyle w:val="FirstParagraph"/>
      </w:pPr>
      <w:r>
        <w:t xml:space="preserve">This mixed-methods study will employ a sequential explanatory design over 18 months, prioritizing ethical engagement with Sydney schools under approval from the University of Sydney Human Research Ethics Committee (HREC). The methodology comprises three phases:</w:t>
      </w:r>
    </w:p>
    <w:bookmarkStart w:id="23" w:name="phase-1-quantitative-survey"/>
    <w:p>
      <w:pPr>
        <w:pStyle w:val="Heading3"/>
      </w:pPr>
      <w:r>
        <w:t xml:space="preserve">Phase 1: Quantitative Survey</w:t>
      </w:r>
    </w:p>
    <w:p>
      <w:pPr>
        <w:pStyle w:val="FirstParagraph"/>
      </w:pPr>
      <w:r>
        <w:t xml:space="preserve">A stratified random sample of 40 Sydney public schools (representing low-, medium-, and high-SES communities) will participate. Data collection includes:</w:t>
      </w:r>
    </w:p>
    <w:p>
      <w:pPr>
        <w:numPr>
          <w:ilvl w:val="0"/>
          <w:numId w:val="1002"/>
        </w:numPr>
        <w:pStyle w:val="Compact"/>
      </w:pPr>
      <w:r>
        <w:t xml:space="preserve">School Counselor surveys measuring service scope, caseloads, and perceived barriers</w:t>
      </w:r>
    </w:p>
    <w:p>
      <w:pPr>
        <w:numPr>
          <w:ilvl w:val="0"/>
          <w:numId w:val="1002"/>
        </w:numPr>
        <w:pStyle w:val="Compact"/>
      </w:pPr>
      <w:r>
        <w:t xml:space="preserve">Student wellbeing metrics (using the Youth Self-Report Scale)</w:t>
      </w:r>
    </w:p>
    <w:p>
      <w:pPr>
        <w:numPr>
          <w:ilvl w:val="0"/>
          <w:numId w:val="1002"/>
        </w:numPr>
        <w:pStyle w:val="Compact"/>
      </w:pPr>
      <w:r>
        <w:t xml:space="preserve">Academic data (attendance records, NAPLAN results) from NSW Department of Education archives</w:t>
      </w:r>
    </w:p>
    <w:bookmarkEnd w:id="23"/>
    <w:bookmarkStart w:id="24" w:name="phase-2-qualitative-case-studies"/>
    <w:p>
      <w:pPr>
        <w:pStyle w:val="Heading3"/>
      </w:pPr>
      <w:r>
        <w:t xml:space="preserve">Phase 2: Qualitative Case Studies</w:t>
      </w:r>
    </w:p>
    <w:p>
      <w:pPr>
        <w:pStyle w:val="FirstParagraph"/>
      </w:pPr>
      <w:r>
        <w:t xml:space="preserve">Site visits to 10 schools will involve focus groups with School Counselors, teachers, and students (aged 12–18), exploring lived experiences. Thematic analysis will identify systemic enablers (e.g., principal support) or inhibitors (e.g., bureaucratic delays) to effective practice.</w:t>
      </w:r>
    </w:p>
    <w:bookmarkEnd w:id="24"/>
    <w:bookmarkStart w:id="25" w:name="phase-3-participatory-action-research"/>
    <w:p>
      <w:pPr>
        <w:pStyle w:val="Heading3"/>
      </w:pPr>
      <w:r>
        <w:t xml:space="preserve">Phase 3: Participatory Action Research</w:t>
      </w:r>
    </w:p>
    <w:p>
      <w:pPr>
        <w:pStyle w:val="FirstParagraph"/>
      </w:pPr>
      <w:r>
        <w:t xml:space="preserve">Working with Sydney school networks, a pilot intervention—such as integrating School Counselor-led "wellbeing hubs" into existing pastoral care structures—will be co-designed and trialed. Outcomes will be evaluated through pre/post-measures of student resilience and counselor job satisfaction.</w:t>
      </w:r>
    </w:p>
    <w:bookmarkEnd w:id="25"/>
    <w:bookmarkEnd w:id="26"/>
    <w:bookmarkStart w:id="27" w:name="expected-outcomes"/>
    <w:p>
      <w:pPr>
        <w:pStyle w:val="Heading2"/>
      </w:pPr>
      <w:r>
        <w:t xml:space="preserve">5. Expected Outcomes</w:t>
      </w:r>
    </w:p>
    <w:p>
      <w:pPr>
        <w:pStyle w:val="FirstParagraph"/>
      </w:pPr>
      <w:r>
        <w:t xml:space="preserve">This</w:t>
      </w:r>
      <w:r>
        <w:t xml:space="preserve"> </w:t>
      </w:r>
      <w:r>
        <w:rPr>
          <w:bCs/>
          <w:b/>
        </w:rPr>
        <w:t xml:space="preserve">Research Proposal</w:t>
      </w:r>
      <w:r>
        <w:t xml:space="preserve"> </w:t>
      </w:r>
      <w:r>
        <w:t xml:space="preserve">anticipates three key deliverables:</w:t>
      </w:r>
    </w:p>
    <w:p>
      <w:pPr>
        <w:numPr>
          <w:ilvl w:val="0"/>
          <w:numId w:val="1003"/>
        </w:numPr>
        <w:pStyle w:val="Compact"/>
      </w:pPr>
      <w:r>
        <w:t xml:space="preserve">A validated framework linking School Counselor service models to measurable student outcomes in Sydney contexts, addressing the NSW government’s 2030 Mental Health Strategy targets.</w:t>
      </w:r>
    </w:p>
    <w:p>
      <w:pPr>
        <w:numPr>
          <w:ilvl w:val="0"/>
          <w:numId w:val="1003"/>
        </w:numPr>
        <w:pStyle w:val="Compact"/>
      </w:pPr>
      <w:r>
        <w:t xml:space="preserve">Data-driven policy briefs for the NSW Department of Education proposing revised counselor allocation formulas based on socioeconomic vulnerability indices (e.g., Index of Community Socio-Educational Advantage).</w:t>
      </w:r>
    </w:p>
    <w:p>
      <w:pPr>
        <w:numPr>
          <w:ilvl w:val="0"/>
          <w:numId w:val="1003"/>
        </w:numPr>
        <w:pStyle w:val="Compact"/>
      </w:pPr>
      <w:r>
        <w:t xml:space="preserve">A scalable professional development toolkit for School Counselors in</w:t>
      </w:r>
      <w:r>
        <w:t xml:space="preserve"> </w:t>
      </w:r>
      <w:r>
        <w:rPr>
          <w:bCs/>
          <w:b/>
        </w:rPr>
        <w:t xml:space="preserve">Australia Sydney</w:t>
      </w:r>
      <w:r>
        <w:t xml:space="preserve">, emphasizing cultural humility and trauma-responsive practices derived from community input.</w:t>
      </w:r>
    </w:p>
    <w:bookmarkEnd w:id="27"/>
    <w:bookmarkStart w:id="28" w:name="significance-to-australia-sydney"/>
    <w:p>
      <w:pPr>
        <w:pStyle w:val="Heading2"/>
      </w:pPr>
      <w:r>
        <w:t xml:space="preserve">6. Significance to Australia Sydney</w:t>
      </w:r>
    </w:p>
    <w:p>
      <w:pPr>
        <w:pStyle w:val="FirstParagraph"/>
      </w:pPr>
      <w:r>
        <w:t xml:space="preserve">The study holds transformative potential for education policy in metropolitan Australia. By grounding recommendations in Sydney’s demographic reality—where over 40% of students speak a language other than English at home—the research will challenge one-size-fits-all approaches. For instance, findings could influence the NSW government’s upcoming School Mental Health Initiative (2024–2027), which targets reducing mental health service disparities in high-need suburbs like Parramatta and Western Sydney. Moreover, this work aligns with the Australian Curriculum’s emphasis on "personal and social capability," directly supporting schools in meeting their obligations under the</w:t>
      </w:r>
      <w:r>
        <w:t xml:space="preserve"> </w:t>
      </w:r>
      <w:r>
        <w:rPr>
          <w:iCs/>
          <w:i/>
        </w:rPr>
        <w:t xml:space="preserve">Education Standards</w:t>
      </w:r>
      <w:r>
        <w:t xml:space="preserve"> </w:t>
      </w:r>
      <w:r>
        <w:t xml:space="preserve">(NESA, 2023).</w:t>
      </w:r>
    </w:p>
    <w:bookmarkEnd w:id="28"/>
    <w:bookmarkStart w:id="29" w:name="ethical-considerations"/>
    <w:p>
      <w:pPr>
        <w:pStyle w:val="Heading2"/>
      </w:pPr>
      <w:r>
        <w:t xml:space="preserve">7. Ethical Considerations</w:t>
      </w:r>
    </w:p>
    <w:p>
      <w:pPr>
        <w:pStyle w:val="FirstParagraph"/>
      </w:pPr>
      <w:r>
        <w:t xml:space="preserve">Ethical rigor is paramount. All participant data will be anonymized and stored securely per Australian Privacy Principles (APP). Informed consent protocols include separate parent/guardian permissions for student surveys, with opt-out clauses for sensitive topics. The research team includes a School Counselor with 15 years’ experience in Sydney schools to ensure culturally safe engagement, particularly with Aboriginal and Torres Strait Islander communities. Partnerships will be established with the NSW Aboriginal Education Consultative Group (AECG) to co-design protocols respecting Indigenous knowledge systems.</w:t>
      </w:r>
    </w:p>
    <w:bookmarkEnd w:id="29"/>
    <w:bookmarkStart w:id="30" w:name="timeline-resources"/>
    <w:p>
      <w:pPr>
        <w:pStyle w:val="Heading2"/>
      </w:pPr>
      <w:r>
        <w:t xml:space="preserve">8. Timeline &amp;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Phase 1 (Survey)</w:t>
      </w:r>
    </w:p>
    <w:p>
      <w:pPr>
        <w:pStyle w:val="BodyText"/>
      </w:pPr>
      <w:r>
        <w:t xml:space="preserve">Months 1–4</w:t>
      </w:r>
    </w:p>
    <w:p>
      <w:pPr>
        <w:pStyle w:val="BodyText"/>
      </w:pPr>
      <w:r>
        <w:t xml:space="preserve">Data collection from 40 schools; ethics approval finalization</w:t>
      </w:r>
    </w:p>
    <w:p>
      <w:pPr>
        <w:pStyle w:val="BodyText"/>
      </w:pPr>
      <w:r>
        <w:t xml:space="preserve">Phase 2 (Case Studies)</w:t>
      </w:r>
    </w:p>
    <w:p>
      <w:pPr>
        <w:pStyle w:val="BodyText"/>
      </w:pPr>
      <w:r>
        <w:t xml:space="preserve">Months 5–10Sites selected; focus groups conducted; initial thematic analysis</w:t>
      </w:r>
    </w:p>
    <w:p>
      <w:pPr>
        <w:pStyle w:val="BodyText"/>
      </w:pPr>
      <w:r>
        <w:t xml:space="preserve">Phase 3 (Action Research)</w:t>
      </w:r>
    </w:p>
    <w:p>
      <w:pPr>
        <w:pStyle w:val="BodyText"/>
      </w:pPr>
      <w:r>
        <w:t xml:space="preserve">Months 11–16</w:t>
      </w:r>
    </w:p>
    <w:p>
      <w:pPr>
        <w:pStyle w:val="BodyText"/>
      </w:pPr>
      <w:r>
        <w:t xml:space="preserve">Pilot intervention design and implementation at 5 schools</w:t>
      </w:r>
    </w:p>
    <w:p>
      <w:pPr>
        <w:pStyle w:val="BodyText"/>
      </w:pPr>
      <w:r>
        <w:t xml:space="preserve">Reporting &amp; Dissemination</w:t>
      </w:r>
    </w:p>
    <w:p>
      <w:pPr>
        <w:pStyle w:val="BodyText"/>
      </w:pPr>
      <w:r>
        <w:t xml:space="preserve">Months 17–18Memoir, policy briefs, academic publications; community workshops across Sydney</w:t>
      </w:r>
    </w:p>
    <w:bookmarkEnd w:id="30"/>
    <w:bookmarkStart w:id="31" w:name="conclusion"/>
    <w:p>
      <w:pPr>
        <w:pStyle w:val="Heading2"/>
      </w:pPr>
      <w:r>
        <w:t xml:space="preserve">9. Conclusion</w:t>
      </w:r>
    </w:p>
    <w:p>
      <w:pPr>
        <w:pStyle w:val="FirstParagraph"/>
      </w:pPr>
      <w:r>
        <w:t xml:space="preserve">This research directly addresses a critical need in Australian education: optimizing the School Counselor’s capacity to foster resilience in Sydney’s diverse student population. By centering on local context and co-producing knowledge with practitioners, this project transcends theoretical inquiry to deliver actionable solutions for</w:t>
      </w:r>
      <w:r>
        <w:t xml:space="preserve"> </w:t>
      </w:r>
      <w:r>
        <w:rPr>
          <w:bCs/>
          <w:b/>
        </w:rPr>
        <w:t xml:space="preserve">Australia Sydney</w:t>
      </w:r>
      <w:r>
        <w:t xml:space="preserve"> </w:t>
      </w:r>
      <w:r>
        <w:t xml:space="preserve">schools navigating unprecedented wellbeing challenges. The findings will not only inform NSW policy but also contribute to the global conversation on school-based mental health services, setting a benchmark for urban educational systems worldwide. Ultimately, this</w:t>
      </w:r>
      <w:r>
        <w:t xml:space="preserve"> </w:t>
      </w:r>
      <w:r>
        <w:rPr>
          <w:bCs/>
          <w:b/>
        </w:rPr>
        <w:t xml:space="preserve">Research Proposal</w:t>
      </w:r>
      <w:r>
        <w:t xml:space="preserve"> </w:t>
      </w:r>
      <w:r>
        <w:t xml:space="preserve">asserts that empowering School Counselors is not merely an educational investment—it is a foundational step toward building mentally healthy communities in modern Australia.</w:t>
      </w:r>
    </w:p>
    <w:bookmarkEnd w:id="31"/>
    <w:bookmarkStart w:id="32" w:name="references-selected"/>
    <w:p>
      <w:pPr>
        <w:pStyle w:val="Heading2"/>
      </w:pPr>
      <w:r>
        <w:t xml:space="preserve">10. References (Selected)</w:t>
      </w:r>
    </w:p>
    <w:p>
      <w:pPr>
        <w:numPr>
          <w:ilvl w:val="0"/>
          <w:numId w:val="1004"/>
        </w:numPr>
        <w:pStyle w:val="Compact"/>
      </w:pPr>
      <w:r>
        <w:t xml:space="preserve">Australian Counseling Association. (2023). *National Framework for School-Based Mental Health*. ACA Press.</w:t>
      </w:r>
    </w:p>
    <w:p>
      <w:pPr>
        <w:numPr>
          <w:ilvl w:val="0"/>
          <w:numId w:val="1004"/>
        </w:numPr>
        <w:pStyle w:val="Compact"/>
      </w:pPr>
      <w:r>
        <w:t xml:space="preserve">NSW Department of Education. (2023). *Mental Health in NSW Schools: Annual Report*. Government of NSW.</w:t>
      </w:r>
    </w:p>
    <w:p>
      <w:pPr>
        <w:numPr>
          <w:ilvl w:val="0"/>
          <w:numId w:val="1004"/>
        </w:numPr>
        <w:pStyle w:val="Compact"/>
      </w:pPr>
      <w:r>
        <w:t xml:space="preserve">O’Sullivan, K., &amp; Liddle, J. (2021). "Urban School Counseling: A Gap Analysis." *Australian Journal of Guidance &amp; Counselling*, 31(2), 45–67.</w:t>
      </w:r>
    </w:p>
    <w:p>
      <w:pPr>
        <w:numPr>
          <w:ilvl w:val="0"/>
          <w:numId w:val="1004"/>
        </w:numPr>
        <w:pStyle w:val="Compact"/>
      </w:pPr>
      <w:r>
        <w:t xml:space="preserve">National Mental Health Commission. (2023). *Australia’s Mental Health Strategy 2030*. Commonwealth of Australia.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Australia Sydney</dc:title>
  <dc:creator/>
  <dc:language>en</dc:language>
  <cp:keywords/>
  <dcterms:created xsi:type="dcterms:W3CDTF">2026-07-23T11:33:55Z</dcterms:created>
  <dcterms:modified xsi:type="dcterms:W3CDTF">2026-07-23T11:33:55Z</dcterms:modified>
</cp:coreProperties>
</file>

<file path=docProps/custom.xml><?xml version="1.0" encoding="utf-8"?>
<Properties xmlns="http://schemas.openxmlformats.org/officeDocument/2006/custom-properties" xmlns:vt="http://schemas.openxmlformats.org/officeDocument/2006/docPropsVTypes"/>
</file>