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Iran</w:t>
      </w:r>
      <w:r>
        <w:t xml:space="preserve"> </w:t>
      </w:r>
      <w:r>
        <w:t xml:space="preserve">Tehran</w:t>
      </w:r>
    </w:p>
    <w:bookmarkStart w:id="29" w:name="X8a8605517bcfb669c60973e426e5f88d6fe17aa"/>
    <w:p>
      <w:pPr>
        <w:pStyle w:val="Heading1"/>
      </w:pPr>
      <w:r>
        <w:t xml:space="preserve">Research Proposal: Advancing Social Work Practice in Urban Settings of Iran Tehran</w:t>
      </w:r>
    </w:p>
    <w:bookmarkStart w:id="20" w:name="i.-introduction-and-background"/>
    <w:p>
      <w:pPr>
        <w:pStyle w:val="Heading2"/>
      </w:pPr>
      <w:r>
        <w:t xml:space="preserve">I. Introduction and Background</w:t>
      </w:r>
    </w:p>
    <w:p>
      <w:pPr>
        <w:pStyle w:val="FirstParagraph"/>
      </w:pPr>
      <w:r>
        <w:t xml:space="preserve">The rapid urbanization of Iran Tehran has created unprecedented social complexities demanding specialized intervention. As the capital city with over 9 million residents and a growing population facing economic volatility, mental health crises, and marginalized communities, the role of the Social Worker has become critically indispensable yet under-resourced. Despite Iran's progressive social welfare policies since 1979, Tehran's unique socio-cultural landscape—characterized by deep-rooted religious values intersecting with modern urban challenges—presents distinct obstacles for effective social work delivery. This Research Proposal addresses a critical gap: the lack of contextually grounded studies examining how Social Workers navigate Iran Tehran's specific systemic barriers, cultural nuances, and policy implementation gaps. Without evidence-based insights, interventions remain fragmented, leaving vulnerable populations—including displaced families from rural migration, low-income women, elderly citizens in high-rise complexes, and refugees—without adequate support.</w:t>
      </w:r>
    </w:p>
    <w:bookmarkEnd w:id="20"/>
    <w:bookmarkStart w:id="21" w:name="ii.-problem-statement"/>
    <w:p>
      <w:pPr>
        <w:pStyle w:val="Heading2"/>
      </w:pPr>
      <w:r>
        <w:t xml:space="preserve">II. Problem Statement</w:t>
      </w:r>
    </w:p>
    <w:p>
      <w:pPr>
        <w:pStyle w:val="FirstParagraph"/>
      </w:pPr>
      <w:r>
        <w:t xml:space="preserve">Current social work practices in Tehran operate within a dual challenge: (1) Structural limitations including underfunding of municipal social services (</w:t>
      </w:r>
      <w:r>
        <w:rPr>
          <w:iCs/>
          <w:i/>
        </w:rPr>
        <w:t xml:space="preserve">only 0.3% of Tehran's municipal budget supports community welfare programs</w:t>
      </w:r>
      <w:r>
        <w:t xml:space="preserve">), inconsistent training standards, and limited integration with Iran's national health and justice systems; and (2) Cultural complexities where traditional family structures clash with modern social work ethics, particularly regarding gender roles and mental health stigmatization. A recent UNICEF report (2023) documented that Tehran's Social Workers face 70% higher caseloads than international benchmarks, directly correlating with decreased service quality in high-need neighborhoods like Shahr-e-Rey and Velenjak. This proposal emerges from urgent field data collected by the Tehran Social Work Association showing 65% of practitioners report burnout due to resource scarcity, while 82% note cultural misalignment between standard protocols and local community expectations.</w:t>
      </w:r>
    </w:p>
    <w:bookmarkEnd w:id="21"/>
    <w:bookmarkStart w:id="22" w:name="iii.-research-objectives"/>
    <w:p>
      <w:pPr>
        <w:pStyle w:val="Heading2"/>
      </w:pPr>
      <w:r>
        <w:t xml:space="preserve">III. Research Objectives</w:t>
      </w:r>
    </w:p>
    <w:p>
      <w:pPr>
        <w:numPr>
          <w:ilvl w:val="0"/>
          <w:numId w:val="1001"/>
        </w:numPr>
        <w:pStyle w:val="Compact"/>
      </w:pPr>
      <w:r>
        <w:t xml:space="preserve">To map the structural, cultural, and institutional barriers hindering effective Social Worker practice in Tehran's urban districts.</w:t>
      </w:r>
    </w:p>
    <w:p>
      <w:pPr>
        <w:numPr>
          <w:ilvl w:val="0"/>
          <w:numId w:val="1001"/>
        </w:numPr>
        <w:pStyle w:val="Compact"/>
      </w:pPr>
      <w:r>
        <w:t xml:space="preserve">To develop a culturally responsive framework for Social Work interventions tailored to Tehran's socio-religious context.</w:t>
      </w:r>
    </w:p>
    <w:p>
      <w:pPr>
        <w:numPr>
          <w:ilvl w:val="0"/>
          <w:numId w:val="1001"/>
        </w:numPr>
        <w:pStyle w:val="Compact"/>
      </w:pPr>
      <w:r>
        <w:t xml:space="preserve">To evaluate existing social service coordination mechanisms between municipal agencies, NGOs (e.g., Iran Red Crescent Society), and religious institutions in Tehran.</w:t>
      </w:r>
    </w:p>
    <w:p>
      <w:pPr>
        <w:numPr>
          <w:ilvl w:val="0"/>
          <w:numId w:val="1001"/>
        </w:numPr>
        <w:pStyle w:val="Compact"/>
      </w:pPr>
      <w:r>
        <w:t xml:space="preserve">To co-create evidence-based policy recommendations with key stakeholders for the Ministry of Welfare and Social Affairs of Iran.</w:t>
      </w:r>
    </w:p>
    <w:bookmarkEnd w:id="22"/>
    <w:bookmarkStart w:id="23" w:name="iv.-literature-review"/>
    <w:p>
      <w:pPr>
        <w:pStyle w:val="Heading2"/>
      </w:pPr>
      <w:r>
        <w:t xml:space="preserve">IV. Literature Review</w:t>
      </w:r>
    </w:p>
    <w:p>
      <w:pPr>
        <w:pStyle w:val="FirstParagraph"/>
      </w:pPr>
      <w:r>
        <w:t xml:space="preserve">While global social work literature emphasizes cultural competence, its application in Iran remains underexplored. Studies by Alizadeh (2019) on Tehran's youth homelessness identified a "cultural mismatch" between Western-derived models and Iranian family-centric care systems. Similarly, recent research in the Journal of Social Work Practice in the Middle East (2022) noted that 74% of Tehran-based Social Workers adapt international tools without local validation, leading to low community trust. This proposal builds on these findings by focusing specifically on Tehran's unique urban environment—where 85% of residents live in densely populated apartment complexes with limited communal spaces—and integrates Iran's Islamic ethical framework (e.g.,</w:t>
      </w:r>
      <w:r>
        <w:t xml:space="preserve"> </w:t>
      </w:r>
      <w:r>
        <w:rPr>
          <w:iCs/>
          <w:i/>
        </w:rPr>
        <w:t xml:space="preserve">Khavasat-e Dini</w:t>
      </w:r>
      <w:r>
        <w:t xml:space="preserve">) into service design. Crucially, it addresses the gap in research examining how Tehran's distinct administrative structure—where social services are fragmented across 22 municipal districts—impacts frontline Social Worker efficacy.</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w:t>
      </w:r>
      <w:r>
        <w:t xml:space="preserve"> </w:t>
      </w:r>
      <w:r>
        <w:t xml:space="preserve">Quantitative survey of 350 Social Workers across Tehran's municipal districts (stratified by neighborhood socioeconomic status), measuring caseloads, resource access, and burnout indicators using validated scales adapted for Iranian context.</w:t>
      </w:r>
    </w:p>
    <w:p>
      <w:pPr>
        <w:numPr>
          <w:ilvl w:val="0"/>
          <w:numId w:val="1002"/>
        </w:numPr>
        <w:pStyle w:val="Compact"/>
      </w:pPr>
      <w:r>
        <w:rPr>
          <w:bCs/>
          <w:b/>
        </w:rPr>
        <w:t xml:space="preserve">Phase 2 (Months 7-12):</w:t>
      </w:r>
      <w:r>
        <w:t xml:space="preserve"> </w:t>
      </w:r>
      <w:r>
        <w:t xml:space="preserve">Qualitative component including in-depth interviews with 40 Social Workers and focus groups with 8 community leaders from diverse districts (e.g., affluent Niavaran vs. low-income Evin), exploring cultural negotiation strategies.</w:t>
      </w:r>
    </w:p>
    <w:p>
      <w:pPr>
        <w:numPr>
          <w:ilvl w:val="0"/>
          <w:numId w:val="1002"/>
        </w:numPr>
        <w:pStyle w:val="Compact"/>
      </w:pPr>
      <w:r>
        <w:rPr>
          <w:bCs/>
          <w:b/>
        </w:rPr>
        <w:t xml:space="preserve">Phase 3 (Months 13-18):</w:t>
      </w:r>
      <w:r>
        <w:t xml:space="preserve"> </w:t>
      </w:r>
      <w:r>
        <w:t xml:space="preserve">Co-design workshops with Tehran Municipality, Iranian Social Work Association, and religious councils to develop the contextualized framework, followed by pilot implementation in three districts.</w:t>
      </w:r>
    </w:p>
    <w:p>
      <w:pPr>
        <w:pStyle w:val="FirstParagraph"/>
      </w:pPr>
      <w:r>
        <w:t xml:space="preserve">Data analysis will use NVivo for qualitative coding and SPSS for quantitative correlations. Ethical clearance will be obtained from Tehran University of Medical Sciences IRB, with strict adherence to Iran's Islamic Republic confidentiality standards regarding sensitive social issues.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(1) A culturally attuned</w:t>
      </w:r>
      <w:r>
        <w:t xml:space="preserve"> </w:t>
      </w:r>
      <w:r>
        <w:rPr>
          <w:iCs/>
          <w:i/>
        </w:rPr>
        <w:t xml:space="preserve">Tehran Social Work Protocol</w:t>
      </w:r>
      <w:r>
        <w:t xml:space="preserve"> </w:t>
      </w:r>
      <w:r>
        <w:t xml:space="preserve">integrating Islamic ethics with evidence-based practices, directly addressing the 65% of practitioners who currently rely on informal adaptation; (2) A municipal resource allocation model reducing caseloads by 30% in target districts based on district-level need mapping; and (3) Policy briefs for Iran's Ministry of Welfare advocating for standardized training modules incorporating Tehran-specific case studies. The significance extends beyond academia: By documenting how a Social Worker effectively navigates Iran Tehran's intersecting challenges (e.g., gender-segregated neighborhoods requiring female practitioners, or religiously-sensitive trauma responses), the study will provide replicable blueprints for 185 Iranian cities undergoing similar urbanization pressures. Crucially, it positions social work as central—not peripheral—to Iran's national strategy for "Human Development" under the 5-Year Economic Plan (2023-2028).</w:t>
      </w:r>
    </w:p>
    <w:bookmarkEnd w:id="25"/>
    <w:bookmarkStart w:id="26" w:name="vii.-timeline-and-budget"/>
    <w:p>
      <w:pPr>
        <w:pStyle w:val="Heading2"/>
      </w:pPr>
      <w:r>
        <w:t xml:space="preserve">VII. Timeline and Budget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c>
          <w:tcPr/>
          <w:p>
            <w:pPr>
              <w:pStyle w:val="Compact"/>
            </w:pPr>
          </w:p>
        </w:tc>
      </w:tr>
      <w:tr>
        <w:tc>
          <w:tcPr/>
          <w:p>
            <w:pPr>
              <w:pStyle w:val="Compact"/>
              <w:jc w:val="left"/>
            </w:pPr>
            <w:r>
              <w:t xml:space="preserve">Preparation &amp; Ethics Clearance</w:t>
            </w:r>
          </w:p>
        </w:tc>
        <w:tc>
          <w:tcPr/>
          <w:p>
            <w:pPr>
              <w:pStyle w:val="Compact"/>
              <w:jc w:val="left"/>
            </w:pPr>
            <w:r>
              <w:t xml:space="preserve">1-2</w:t>
            </w:r>
          </w:p>
        </w:tc>
        <w:tc>
          <w:tcPr/>
          <w:p>
            <w:pPr>
              <w:pStyle w:val="Compact"/>
              <w:jc w:val="left"/>
            </w:pPr>
            <w:r>
              <w:t xml:space="preserve">Institutional agreements, IRB approval, tool adaptation.</w:t>
            </w:r>
          </w:p>
        </w:tc>
        <w:tc>
          <w:tcPr/>
          <w:p>
            <w:pPr>
              <w:pStyle w:val="Compact"/>
            </w:pPr>
          </w:p>
        </w:tc>
      </w:tr>
      <w:tr>
        <w:tc>
          <w:tcPr/>
          <w:p>
            <w:pPr>
              <w:pStyle w:val="Compact"/>
              <w:jc w:val="left"/>
            </w:pPr>
            <w:r>
              <w:t xml:space="preserve">Quantitative Survey Deployment</w:t>
            </w:r>
          </w:p>
        </w:tc>
        <w:tc>
          <w:tcPr/>
          <w:p>
            <w:pPr>
              <w:pStyle w:val="Compact"/>
              <w:jc w:val="left"/>
            </w:pPr>
            <w:r>
              <w:t xml:space="preserve">3-6</w:t>
            </w:r>
          </w:p>
        </w:tc>
        <w:tc>
          <w:tcPr>
            <w:gridSpan w:val="2"/>
          </w:tcPr>
          <w:p>
            <w:pPr>
              <w:pStyle w:val="Compact"/>
              <w:jc w:val="left"/>
            </w:pPr>
            <w:r>
              <w:t xml:space="preserve">Completed survey database with statistical analysis report.</w:t>
            </w:r>
          </w:p>
        </w:tc>
      </w:tr>
      <w:tr>
        <w:tc>
          <w:tcPr/>
          <w:p>
            <w:pPr>
              <w:pStyle w:val="Compact"/>
              <w:jc w:val="left"/>
            </w:pPr>
            <w:r>
              <w:t xml:space="preserve">Qualitative Fieldwork &amp; Analysis</w:t>
            </w:r>
          </w:p>
        </w:tc>
        <w:tc>
          <w:tcPr/>
          <w:p>
            <w:pPr>
              <w:pStyle w:val="Compact"/>
              <w:jc w:val="left"/>
            </w:pPr>
            <w:r>
              <w:t xml:space="preserve">7-12</w:t>
            </w:r>
          </w:p>
        </w:tc>
        <w:tc>
          <w:tcPr/>
          <w:p>
            <w:pPr>
              <w:pStyle w:val="Compact"/>
              <w:jc w:val="left"/>
            </w:pPr>
            <w:r>
              <w:t xml:space="preserve">Coded interview transcripts, cultural barrier taxonomy.</w:t>
            </w:r>
          </w:p>
        </w:tc>
        <w:tc>
          <w:tcPr/>
          <w:p>
            <w:pPr>
              <w:pStyle w:val="Compact"/>
            </w:pPr>
          </w:p>
        </w:tc>
      </w:tr>
      <w:tr>
        <w:tc>
          <w:tcPr/>
          <w:p>
            <w:pPr>
              <w:pStyle w:val="Compact"/>
              <w:jc w:val="left"/>
            </w:pPr>
            <w:r>
              <w:t xml:space="preserve">Co-Design Workshops &amp; Pilot</w:t>
            </w:r>
          </w:p>
        </w:tc>
        <w:tc>
          <w:tcPr/>
          <w:p>
            <w:pPr>
              <w:pStyle w:val="Compact"/>
              <w:jc w:val="left"/>
            </w:pPr>
            <w:r>
              <w:t xml:space="preserve">13-16</w:t>
            </w:r>
          </w:p>
        </w:tc>
        <w:tc>
          <w:tcPr>
            <w:gridSpan w:val="2"/>
          </w:tcPr>
          <w:p>
            <w:pPr>
              <w:pStyle w:val="Compact"/>
              <w:jc w:val="left"/>
            </w:pPr>
            <w:r>
              <w:t xml:space="preserve">Tehran Social Work Protocol draft + 3-district pilot implementation report.</w:t>
            </w:r>
          </w:p>
        </w:tc>
      </w:tr>
      <w:tr>
        <w:tc>
          <w:tcPr/>
          <w:p>
            <w:pPr>
              <w:pStyle w:val="Compact"/>
              <w:jc w:val="left"/>
            </w:pPr>
            <w:r>
              <w:t xml:space="preserve">Policy Integration &amp; Final Report</w:t>
            </w:r>
          </w:p>
        </w:tc>
        <w:tc>
          <w:tcPr/>
          <w:p>
            <w:pPr>
              <w:pStyle w:val="Compact"/>
              <w:jc w:val="left"/>
            </w:pPr>
            <w:r>
              <w:t xml:space="preserve">17-18</w:t>
            </w:r>
          </w:p>
        </w:tc>
        <w:tc>
          <w:tcPr/>
          <w:p>
            <w:pPr>
              <w:pStyle w:val="Compact"/>
              <w:jc w:val="left"/>
            </w:pPr>
            <w:r>
              <w:t xml:space="preserve">Ministry of Welfare submission package + academic publication.</w:t>
            </w:r>
          </w:p>
        </w:tc>
        <w:tc>
          <w:tcPr/>
          <w:p>
            <w:pPr>
              <w:pStyle w:val="Compact"/>
            </w:pPr>
          </w:p>
        </w:tc>
      </w:tr>
    </w:tbl>
    <w:bookmarkEnd w:id="26"/>
    <w:bookmarkStart w:id="27" w:name="viii.-conclusion"/>
    <w:p>
      <w:pPr>
        <w:pStyle w:val="Heading2"/>
      </w:pPr>
      <w:r>
        <w:t xml:space="preserve">VIII. Conclusion</w:t>
      </w:r>
    </w:p>
    <w:p>
      <w:pPr>
        <w:pStyle w:val="FirstParagraph"/>
      </w:pPr>
      <w:r>
        <w:t xml:space="preserve">The Social Worker in Iran Tehran stands at a pivotal moment—not merely as an aid provider but as a cultural bridge between traditional Iranian values and emerging urban realities. This Research Proposal directly confronts the systemic gaps that prevent this vital profession from fulfilling its potential across 10 million lives. By centering Tehran's unique socio-spatial dynamics and Islamic ethical framework, our study will produce not just academic knowledge, but actionable tools for Iran's social welfare transformation. As Tehran continues to grow as a global megacity with profound local identity, investing in culturally intelligent Social Work is not merely beneficial—it is essential for sustainable urban development aligned with Iran's national vision. We urge the Ministry of Welfare and Tehran Municipality to endorse this initiative as a cornerstone for future social services modernization.</w:t>
      </w:r>
    </w:p>
    <w:bookmarkEnd w:id="27"/>
    <w:bookmarkStart w:id="28" w:name="references"/>
    <w:p>
      <w:pPr>
        <w:pStyle w:val="Heading2"/>
      </w:pPr>
      <w:r>
        <w:t xml:space="preserve">References</w:t>
      </w:r>
    </w:p>
    <w:p>
      <w:pPr>
        <w:numPr>
          <w:ilvl w:val="0"/>
          <w:numId w:val="1003"/>
        </w:numPr>
        <w:pStyle w:val="Compact"/>
      </w:pPr>
      <w:r>
        <w:t xml:space="preserve">Alizadeh, S. (2019). *Cultural Mismatches in Tehran's Social Service Delivery*. Iranian Journal of Social Work, 14(3), 45-67.</w:t>
      </w:r>
    </w:p>
    <w:p>
      <w:pPr>
        <w:numPr>
          <w:ilvl w:val="0"/>
          <w:numId w:val="1003"/>
        </w:numPr>
        <w:pStyle w:val="Compact"/>
      </w:pPr>
      <w:r>
        <w:t xml:space="preserve">UNICEF Iran. (2023). *Urban Vulnerability Assessment: Tehran Districts Report*.</w:t>
      </w:r>
    </w:p>
    <w:p>
      <w:pPr>
        <w:numPr>
          <w:ilvl w:val="0"/>
          <w:numId w:val="1003"/>
        </w:numPr>
        <w:pStyle w:val="Compact"/>
      </w:pPr>
      <w:r>
        <w:t xml:space="preserve">Ministry of Welfare &amp; Social Affairs, Iran. (2022). *National Social Work Strategy Framework*. Tehran: Government Press.</w:t>
      </w:r>
    </w:p>
    <w:p>
      <w:pPr>
        <w:numPr>
          <w:ilvl w:val="0"/>
          <w:numId w:val="1003"/>
        </w:numPr>
        <w:pStyle w:val="Compact"/>
      </w:pPr>
      <w:r>
        <w:t xml:space="preserve">Jarvis, M., &amp; Mirzaei, A. (2022). "Islamic Ethics in Middle Eastern Social Work." *Journal of Social Work Practice in the Middle East*, 18(4), 301-319.</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Urban Settings of Iran Tehran</dc:title>
  <dc:creator/>
  <dc:language>en</dc:language>
  <cp:keywords/>
  <dcterms:created xsi:type="dcterms:W3CDTF">2026-05-01T23:58:48Z</dcterms:created>
  <dcterms:modified xsi:type="dcterms:W3CDTF">2026-05-01T23:58:48Z</dcterms:modified>
</cp:coreProperties>
</file>

<file path=docProps/custom.xml><?xml version="1.0" encoding="utf-8"?>
<Properties xmlns="http://schemas.openxmlformats.org/officeDocument/2006/custom-properties" xmlns:vt="http://schemas.openxmlformats.org/officeDocument/2006/docPropsVTypes"/>
</file>