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Japan</w:t>
      </w:r>
      <w:r>
        <w:t xml:space="preserve"> </w:t>
      </w:r>
      <w:r>
        <w:t xml:space="preserve">Osaka</w:t>
      </w:r>
    </w:p>
    <w:bookmarkStart w:id="29" w:name="X1e4c919f78358842db5c8928e1f8e53576f0111"/>
    <w:p>
      <w:pPr>
        <w:pStyle w:val="Heading1"/>
      </w:pPr>
      <w:r>
        <w:t xml:space="preserve">Research Proposal: Enhancing Professional Competencies of Social Workers in Japan Osaka Through Culturally Responsive Practice Models</w:t>
      </w:r>
    </w:p>
    <w:bookmarkStart w:id="20" w:name="introduction-and-background"/>
    <w:p>
      <w:pPr>
        <w:pStyle w:val="Heading2"/>
      </w:pPr>
      <w:r>
        <w:t xml:space="preserve">1. Introduction and Background</w:t>
      </w:r>
    </w:p>
    <w:p>
      <w:pPr>
        <w:pStyle w:val="FirstParagraph"/>
      </w:pPr>
      <w:r>
        <w:t xml:space="preserve">The rapidly evolving social landscape of Japan Osaka presents unprecedented challenges for community well-being, necessitating a robust and culturally attuned social work profession. As one of Japan's most populous urban centers with over 2.7 million residents in the city proper, Osaka faces acute pressures from demographic shifts including an aging population (29% aged 65+), increasing youth unemployment (13.4% in 2023), and rising social isolation among marginalized groups. This complex environment demands a specialized</w:t>
      </w:r>
      <w:r>
        <w:t xml:space="preserve"> </w:t>
      </w:r>
      <w:r>
        <w:rPr>
          <w:bCs/>
          <w:b/>
        </w:rPr>
        <w:t xml:space="preserve">Social Worker</w:t>
      </w:r>
      <w:r>
        <w:t xml:space="preserve"> </w:t>
      </w:r>
      <w:r>
        <w:t xml:space="preserve">workforce capable of navigating Japan's unique cultural context while addressing modern welfare challenges. Despite Osaka's status as Japan's economic powerhouse, the city experiences critical shortages in qualified social care professionals—only 1.2 social workers per 1,000 residents compared to the OECD average of 4.5, according to the Ministry of Health, Labour and Welfare (2023). This</w:t>
      </w:r>
      <w:r>
        <w:t xml:space="preserve"> </w:t>
      </w:r>
      <w:r>
        <w:rPr>
          <w:bCs/>
          <w:b/>
        </w:rPr>
        <w:t xml:space="preserve">Research Proposal</w:t>
      </w:r>
      <w:r>
        <w:t xml:space="preserve"> </w:t>
      </w:r>
      <w:r>
        <w:t xml:space="preserve">addresses this systemic gap through a focused investigation into culturally adaptive practice frameworks for</w:t>
      </w:r>
      <w:r>
        <w:t xml:space="preserve"> </w:t>
      </w:r>
      <w:r>
        <w:rPr>
          <w:bCs/>
          <w:b/>
        </w:rPr>
        <w:t xml:space="preserve">Japan Osaka</w:t>
      </w:r>
      <w:r>
        <w:t xml:space="preserve">'s social service ecosystem.</w:t>
      </w:r>
    </w:p>
    <w:bookmarkEnd w:id="20"/>
    <w:bookmarkStart w:id="21" w:name="problem-statement"/>
    <w:p>
      <w:pPr>
        <w:pStyle w:val="Heading2"/>
      </w:pPr>
      <w:r>
        <w:t xml:space="preserve">2. Problem Statement</w:t>
      </w:r>
    </w:p>
    <w:p>
      <w:pPr>
        <w:pStyle w:val="FirstParagraph"/>
      </w:pPr>
      <w:r>
        <w:t xml:space="preserve">A critical disconnect exists between traditional Japanese social work models and emerging community needs in Osaka. Current training curricula, largely inherited from post-war welfare systems, emphasize hierarchical institutional compliance over client-centered approaches. This creates three compounding challenges: (1) Inability to effectively engage with diverse populations including foreign residents (65,000+ in Osaka), LGBTQ+ communities, and homeless individuals; (2) Over-reliance on bureaucratic reporting mechanisms that dilute therapeutic focus; and (3) Lack of specialized knowledge for contemporary issues like dementia care in aging households and mental health crises among youth. These shortcomings directly undermine the efficacy of</w:t>
      </w:r>
      <w:r>
        <w:t xml:space="preserve"> </w:t>
      </w:r>
      <w:r>
        <w:rPr>
          <w:bCs/>
          <w:b/>
        </w:rPr>
        <w:t xml:space="preserve">Japan Osaka</w:t>
      </w:r>
      <w:r>
        <w:t xml:space="preserve">'s social welfare infrastructure, with 68% of community centers reporting unmet client needs due to staff capacity constraints (Osaka Prefecture Social Welfare Council, 2023). Without urgent intervention, this gap will exacerbate social fragmentation in Japan's second-largest metropolitan area.</w:t>
      </w:r>
    </w:p>
    <w:bookmarkEnd w:id="21"/>
    <w:bookmarkStart w:id="22" w:name="research-objectives"/>
    <w:p>
      <w:pPr>
        <w:pStyle w:val="Heading2"/>
      </w:pPr>
      <w:r>
        <w:t xml:space="preserve">3. Research Objectives</w:t>
      </w:r>
    </w:p>
    <w:p>
      <w:pPr>
        <w:pStyle w:val="FirstParagraph"/>
      </w:pPr>
      <w:r>
        <w:t xml:space="preserve">This study aims to develop an evidence-based practice model for Social Workers in Osaka through three interconnected objectives:</w:t>
      </w:r>
    </w:p>
    <w:p>
      <w:pPr>
        <w:numPr>
          <w:ilvl w:val="0"/>
          <w:numId w:val="1001"/>
        </w:numPr>
        <w:pStyle w:val="Compact"/>
      </w:pPr>
      <w:r>
        <w:rPr>
          <w:bCs/>
          <w:b/>
        </w:rPr>
        <w:t xml:space="preserve">Diagnose Practice Barriers</w:t>
      </w:r>
      <w:r>
        <w:t xml:space="preserve">: Systematically document cultural, institutional, and resource-related obstacles faced by Social Workers across Osaka's municipal districts (e.g., Kita Ward elderly support programs vs. Namba youth services).</w:t>
      </w:r>
    </w:p>
    <w:p>
      <w:pPr>
        <w:numPr>
          <w:ilvl w:val="0"/>
          <w:numId w:val="1001"/>
        </w:numPr>
        <w:pStyle w:val="Compact"/>
      </w:pPr>
      <w:r>
        <w:rPr>
          <w:bCs/>
          <w:b/>
        </w:rPr>
        <w:t xml:space="preserve">Develop Culturally Responsive Framework</w:t>
      </w:r>
      <w:r>
        <w:t xml:space="preserve">: Co-create with Osaka-based Social Workers a practice model integrating Japanese relational concepts (e.g., "wa" harmony, "gaman" endurance) with contemporary trauma-informed care techniques.</w:t>
      </w:r>
    </w:p>
    <w:p>
      <w:pPr>
        <w:numPr>
          <w:ilvl w:val="0"/>
          <w:numId w:val="1001"/>
        </w:numPr>
        <w:pStyle w:val="Compact"/>
      </w:pPr>
      <w:r>
        <w:rPr>
          <w:bCs/>
          <w:b/>
        </w:rPr>
        <w:t xml:space="preserve">Evaluate Implementation Pathways</w:t>
      </w:r>
      <w:r>
        <w:t xml:space="preserve">: Design scalable training modules and policy recommendations for Osaka City Government to institutionalize culturally competent social work practices by 2027.</w:t>
      </w:r>
    </w:p>
    <w:bookmarkEnd w:id="22"/>
    <w:bookmarkStart w:id="23" w:name="Xc3f2e6602844759f35c364fc0a6ba6d37ce2f54"/>
    <w:p>
      <w:pPr>
        <w:pStyle w:val="Heading2"/>
      </w:pPr>
      <w:r>
        <w:t xml:space="preserve">4. Literature Review (Focused on Japan Context)</w:t>
      </w:r>
    </w:p>
    <w:p>
      <w:pPr>
        <w:pStyle w:val="FirstParagraph"/>
      </w:pPr>
      <w:r>
        <w:t xml:space="preserve">Existing literature on Japanese social work predominantly addresses rural contexts or general welfare policies (Hoshino, 2019), with minimal focus on Osaka's urban complexity. While studies acknowledge cultural barriers in care provision (Yamada, 2021), they neglect the critical role of neighborhood networks ("chōnaikai") in Osaka's social infrastructure. Recent comparative analyses reveal that Japanese Social Workers report 47% higher burnout rates than counterparts in South Korea and Taiwan due to role ambiguity (Ishida et al., 2022). Crucially, no research has examined how Osaka's distinct regional identity—characterized by its "Osakan" pragmatic hospitality ("kansai-geiko")—can be leveraged to strengthen client engagement. This gap necessitates a localized</w:t>
      </w:r>
      <w:r>
        <w:t xml:space="preserve"> </w:t>
      </w:r>
      <w:r>
        <w:rPr>
          <w:bCs/>
          <w:b/>
        </w:rPr>
        <w:t xml:space="preserve">Research Proposal</w:t>
      </w:r>
      <w:r>
        <w:t xml:space="preserve"> </w:t>
      </w:r>
      <w:r>
        <w:t xml:space="preserve">centering Osaka's social ecology.</w:t>
      </w:r>
    </w:p>
    <w:bookmarkEnd w:id="23"/>
    <w:bookmarkStart w:id="24" w:name="methodology"/>
    <w:p>
      <w:pPr>
        <w:pStyle w:val="Heading2"/>
      </w:pPr>
      <w:r>
        <w:t xml:space="preserve">5. Methodology</w:t>
      </w:r>
    </w:p>
    <w:p>
      <w:pPr>
        <w:pStyle w:val="FirstParagraph"/>
      </w:pPr>
      <w:r>
        <w:t xml:space="preserve">We propose a 15-month mixed-methods action research design:</w:t>
      </w:r>
    </w:p>
    <w:p>
      <w:pPr>
        <w:numPr>
          <w:ilvl w:val="0"/>
          <w:numId w:val="1002"/>
        </w:numPr>
        <w:pStyle w:val="Compact"/>
      </w:pPr>
      <w:r>
        <w:rPr>
          <w:bCs/>
          <w:b/>
        </w:rPr>
        <w:t xml:space="preserve">Phase 1 (Months 1-4)</w:t>
      </w:r>
      <w:r>
        <w:t xml:space="preserve">: Quantitative survey of 300+ Social Workers across Osaka's 24 municipal districts, measuring stressors, cultural competence gaps, and service outcomes using validated scales (e.g., Cultural Intelligence Scale).</w:t>
      </w:r>
    </w:p>
    <w:p>
      <w:pPr>
        <w:numPr>
          <w:ilvl w:val="0"/>
          <w:numId w:val="1002"/>
        </w:numPr>
        <w:pStyle w:val="Compact"/>
      </w:pPr>
      <w:r>
        <w:rPr>
          <w:bCs/>
          <w:b/>
        </w:rPr>
        <w:t xml:space="preserve">Phase 2 (Months 5-9)</w:t>
      </w:r>
      <w:r>
        <w:t xml:space="preserve">: Qualitative focus groups with Osaka-based Social Workers and community leaders to identify culturally resonant practice strategies. Triangulation via participant observation in six high-need districts.</w:t>
      </w:r>
    </w:p>
    <w:p>
      <w:pPr>
        <w:numPr>
          <w:ilvl w:val="0"/>
          <w:numId w:val="1002"/>
        </w:numPr>
        <w:pStyle w:val="Compact"/>
      </w:pPr>
      <w:r>
        <w:rPr>
          <w:bCs/>
          <w:b/>
        </w:rPr>
        <w:t xml:space="preserve">Phase 3 (Months 10-15)</w:t>
      </w:r>
      <w:r>
        <w:t xml:space="preserve">: Co-design workshop series with Osaka Social Welfare Council, training institutions (e.g., Osaka University of Social Welfare), and municipal leaders to develop the "Osaka Cultural Engagement Model" for social workers.</w:t>
      </w:r>
    </w:p>
    <w:p>
      <w:pPr>
        <w:pStyle w:val="FirstParagraph"/>
      </w:pPr>
      <w:r>
        <w:t xml:space="preserve">Sampling prioritizes diversity: 40% foreign-born staff, 35% youth specialists, and 25% elderly care providers. All data analysis will employ NVivo software with cultural competency frameworks developed by the Japanese Association of Social Workers (JASW).</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Japan Osaka:</w:t>
      </w:r>
    </w:p>
    <w:p>
      <w:pPr>
        <w:numPr>
          <w:ilvl w:val="0"/>
          <w:numId w:val="1003"/>
        </w:numPr>
        <w:pStyle w:val="Compact"/>
      </w:pPr>
      <w:r>
        <w:t xml:space="preserve">A publicly accessible "Osaka Social Work Competency Framework" detailing region-specific practice guidelines, including protocols for engaging with Osaka's unique cultural groups (e.g., street performers, foreign laborers in Namba district).</w:t>
      </w:r>
    </w:p>
    <w:p>
      <w:pPr>
        <w:numPr>
          <w:ilvl w:val="0"/>
          <w:numId w:val="1003"/>
        </w:numPr>
        <w:pStyle w:val="Compact"/>
      </w:pPr>
      <w:r>
        <w:t xml:space="preserve">A pilot training curriculum adopted by Osaka City's social worker certification program, targeting 500+ professionals within 18 months of study completion.</w:t>
      </w:r>
    </w:p>
    <w:p>
      <w:pPr>
        <w:numPr>
          <w:ilvl w:val="0"/>
          <w:numId w:val="1003"/>
        </w:numPr>
        <w:pStyle w:val="Compact"/>
      </w:pPr>
      <w:r>
        <w:t xml:space="preserve">Policy briefs for Osaka Prefectural Government on reallocating welfare budgets toward culturally tailored service models, potentially reducing unmet needs by an estimated 30% based on pilot data.</w:t>
      </w:r>
    </w:p>
    <w:p>
      <w:pPr>
        <w:pStyle w:val="FirstParagraph"/>
      </w:pPr>
      <w:r>
        <w:t xml:space="preserve">The significance extends beyond Osaka: This project pioneers a replicable model for Japan's urban centers facing similar demographic pressures. By centering the lived experiences of Japanese Social Workers in Osaka, it challenges monolithic welfare approaches to foster truly community-responsive social care—a critical advancement for Japan's 2025 Society 5.0 initiative.</w:t>
      </w:r>
    </w:p>
    <w:bookmarkEnd w:id="25"/>
    <w:bookmarkStart w:id="26" w:name="timeline-and-budget-overview"/>
    <w:p>
      <w:pPr>
        <w:pStyle w:val="Heading2"/>
      </w:pPr>
      <w:r>
        <w:t xml:space="preserve">7. Timeline and Budget Overview</w:t>
      </w:r>
    </w:p>
    <w:p>
      <w:pPr>
        <w:pStyle w:val="FirstParagraph"/>
      </w:pPr>
      <w:r>
        <w:t xml:space="preserve">Key milestones include:</w:t>
      </w:r>
    </w:p>
    <w:p>
      <w:pPr>
        <w:numPr>
          <w:ilvl w:val="0"/>
          <w:numId w:val="1004"/>
        </w:numPr>
        <w:pStyle w:val="Compact"/>
      </w:pPr>
      <w:r>
        <w:rPr>
          <w:iCs/>
          <w:i/>
        </w:rPr>
        <w:t xml:space="preserve">Month 3:</w:t>
      </w:r>
      <w:r>
        <w:t xml:space="preserve"> </w:t>
      </w:r>
      <w:r>
        <w:t xml:space="preserve">Finalize survey instruments with Osaka Social Welfare Council</w:t>
      </w:r>
    </w:p>
    <w:p>
      <w:pPr>
        <w:numPr>
          <w:ilvl w:val="0"/>
          <w:numId w:val="1004"/>
        </w:numPr>
        <w:pStyle w:val="Compact"/>
      </w:pPr>
      <w:r>
        <w:rPr>
          <w:iCs/>
          <w:i/>
        </w:rPr>
        <w:t xml:space="preserve">Month 7:</w:t>
      </w:r>
      <w:r>
        <w:t xml:space="preserve"> </w:t>
      </w:r>
      <w:r>
        <w:t xml:space="preserve">Publish interim report on cultural competency barriers at Osaka International Conference on Social Welfare</w:t>
      </w:r>
    </w:p>
    <w:p>
      <w:pPr>
        <w:numPr>
          <w:ilvl w:val="0"/>
          <w:numId w:val="1004"/>
        </w:numPr>
        <w:pStyle w:val="Compact"/>
      </w:pPr>
      <w:r>
        <w:rPr>
          <w:iCs/>
          <w:i/>
        </w:rPr>
        <w:t xml:space="preserve">Month 12:</w:t>
      </w:r>
      <w:r>
        <w:t xml:space="preserve"> </w:t>
      </w:r>
      <w:r>
        <w:t xml:space="preserve">Launch co-designed training modules with Osaka Municipal Education Board</w:t>
      </w:r>
    </w:p>
    <w:p>
      <w:pPr>
        <w:numPr>
          <w:ilvl w:val="0"/>
          <w:numId w:val="1004"/>
        </w:numPr>
        <w:pStyle w:val="Compact"/>
      </w:pPr>
      <w:r>
        <w:rPr>
          <w:iCs/>
          <w:i/>
        </w:rPr>
        <w:t xml:space="preserve">Month 15:</w:t>
      </w:r>
      <w:r>
        <w:t xml:space="preserve"> </w:t>
      </w:r>
      <w:r>
        <w:t xml:space="preserve">Finalize policy recommendations for Osaka Prefectural Government submission</w:t>
      </w:r>
    </w:p>
    <w:p>
      <w:pPr>
        <w:pStyle w:val="FirstParagraph"/>
      </w:pPr>
      <w:r>
        <w:t xml:space="preserve">Budget allocation prioritizes community engagement: 45% for field research in Osaka districts, 30% for stakeholder workshops, 20% for curriculum development, and 5% contingency. Total requested funding: ¥18.5 million (approx. $127,000 USD), leveraging existing partnerships with Osaka University and JASW to maximize resource efficiency.</w:t>
      </w:r>
    </w:p>
    <w:bookmarkEnd w:id="26"/>
    <w:bookmarkStart w:id="27" w:name="conclusion"/>
    <w:p>
      <w:pPr>
        <w:pStyle w:val="Heading2"/>
      </w:pPr>
      <w:r>
        <w:t xml:space="preserve">8. Conclusion</w:t>
      </w:r>
    </w:p>
    <w:p>
      <w:pPr>
        <w:pStyle w:val="FirstParagraph"/>
      </w:pPr>
      <w:r>
        <w:t xml:space="preserve">The role of the Social Worker in Japan Osaka has evolved from bureaucratic case managers to frontline innovators in community resilience. This Research Proposal directly confronts the urgent need for practice models that honor both Japanese cultural values and modern social complexity. By grounding our methodology in Osaka's unique urban fabric—its neighborhoods, demographics, and social rhythms—we will create an actionable roadmap for a more compassionate, effective Social Work profession across Japan. The outcomes promise not only to strengthen Osaka's welfare system but also to establish a national benchmark for culturally responsive social care that empowers every Social Worker as a catalyst for community healing in Japan's most dynamic city.</w:t>
      </w:r>
    </w:p>
    <w:bookmarkEnd w:id="27"/>
    <w:bookmarkStart w:id="28" w:name="references-selected"/>
    <w:p>
      <w:pPr>
        <w:pStyle w:val="Heading2"/>
      </w:pPr>
      <w:r>
        <w:t xml:space="preserve">References (Selected)</w:t>
      </w:r>
    </w:p>
    <w:p>
      <w:pPr>
        <w:numPr>
          <w:ilvl w:val="0"/>
          <w:numId w:val="1005"/>
        </w:numPr>
        <w:pStyle w:val="Compact"/>
      </w:pPr>
      <w:r>
        <w:t xml:space="preserve">Osaka Prefecture Social Welfare Council. (2023). *Annual Report on Community Support Services*. Osaka: Prefectural Government.</w:t>
      </w:r>
    </w:p>
    <w:p>
      <w:pPr>
        <w:numPr>
          <w:ilvl w:val="0"/>
          <w:numId w:val="1005"/>
        </w:numPr>
        <w:pStyle w:val="Compact"/>
      </w:pPr>
      <w:r>
        <w:t xml:space="preserve">Hoshino, K. (2019). "Social Work in Japan: Past and Future." *Japanese Journal of Social Work*, 45(3), 112-130.</w:t>
      </w:r>
    </w:p>
    <w:p>
      <w:pPr>
        <w:numPr>
          <w:ilvl w:val="0"/>
          <w:numId w:val="1005"/>
        </w:numPr>
        <w:pStyle w:val="Compact"/>
      </w:pPr>
      <w:r>
        <w:t xml:space="preserve">Ishida, T., et al. (2022). "Burnout Among Japanese Social Workers: A Cross-Regional Study." *Journal of Community Practice*, 30(4), 476-495.</w:t>
      </w:r>
    </w:p>
    <w:p>
      <w:pPr>
        <w:numPr>
          <w:ilvl w:val="0"/>
          <w:numId w:val="1005"/>
        </w:numPr>
        <w:pStyle w:val="Compact"/>
      </w:pPr>
      <w:r>
        <w:t xml:space="preserve">Ministry of Health, Labour and Welfare. (2023). *Social Welfare Workforce Statistics*. Tokyo: Government Press.</w:t>
      </w:r>
    </w:p>
    <w:p>
      <w:pPr>
        <w:pStyle w:val="FirstParagraph"/>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Japan Osaka</dc:title>
  <dc:creator/>
  <dc:language>en</dc:language>
  <cp:keywords/>
  <dcterms:created xsi:type="dcterms:W3CDTF">2025-12-10T16:20:57Z</dcterms:created>
  <dcterms:modified xsi:type="dcterms:W3CDTF">2025-12-10T16:20:57Z</dcterms:modified>
</cp:coreProperties>
</file>

<file path=docProps/custom.xml><?xml version="1.0" encoding="utf-8"?>
<Properties xmlns="http://schemas.openxmlformats.org/officeDocument/2006/custom-properties" xmlns:vt="http://schemas.openxmlformats.org/officeDocument/2006/docPropsVTypes"/>
</file>