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Social</w:t>
      </w:r>
      <w:r>
        <w:t xml:space="preserve"> </w:t>
      </w:r>
      <w:r>
        <w:t xml:space="preserve">Worker</w:t>
      </w:r>
      <w:r>
        <w:t xml:space="preserve"> </w:t>
      </w:r>
      <w:r>
        <w:t xml:space="preserve">Impact</w:t>
      </w:r>
      <w:r>
        <w:t xml:space="preserve"> </w:t>
      </w:r>
      <w:r>
        <w:t xml:space="preserve">in</w:t>
      </w:r>
      <w:r>
        <w:t xml:space="preserve"> </w:t>
      </w:r>
      <w:r>
        <w:t xml:space="preserve">Urban</w:t>
      </w:r>
      <w:r>
        <w:t xml:space="preserve"> </w:t>
      </w:r>
      <w:r>
        <w:t xml:space="preserve">Poverty</w:t>
      </w:r>
      <w:r>
        <w:t xml:space="preserve"> </w:t>
      </w:r>
      <w:r>
        <w:t xml:space="preserve">and</w:t>
      </w:r>
      <w:r>
        <w:t xml:space="preserve"> </w:t>
      </w:r>
      <w:r>
        <w:t xml:space="preserve">Child</w:t>
      </w:r>
      <w:r>
        <w:t xml:space="preserve"> </w:t>
      </w:r>
      <w:r>
        <w:t xml:space="preserve">Welfare</w:t>
      </w:r>
      <w:r>
        <w:t xml:space="preserve"> </w:t>
      </w:r>
      <w:r>
        <w:t xml:space="preserve">in</w:t>
      </w:r>
      <w:r>
        <w:t xml:space="preserve"> </w:t>
      </w:r>
      <w:r>
        <w:t xml:space="preserve">Nairobi,</w:t>
      </w:r>
      <w:r>
        <w:t xml:space="preserve"> </w:t>
      </w:r>
      <w:r>
        <w:t xml:space="preserve">Kenya</w:t>
      </w:r>
    </w:p>
    <w:bookmarkStart w:id="31" w:name="X6b186838d1c30f75e4d4c926ab0363f8abe029f"/>
    <w:p>
      <w:pPr>
        <w:pStyle w:val="Heading1"/>
      </w:pPr>
      <w:r>
        <w:t xml:space="preserve">Research Proposal: Enhancing Social Worker Impact in Urban Poverty and Child Welfare Challenges in Nairobi, Kenya</w:t>
      </w:r>
    </w:p>
    <w:p>
      <w:pPr>
        <w:pStyle w:val="FirstParagraph"/>
      </w:pPr>
      <w:r>
        <w:rPr>
          <w:bCs/>
          <w:b/>
        </w:rPr>
        <w:t xml:space="preserve">Abstract:</w:t>
      </w:r>
      <w:r>
        <w:t xml:space="preserve"> </w:t>
      </w:r>
      <w:r>
        <w:t xml:space="preserve">This research proposal addresses critical gaps in social work practice within Nairobi's rapidly expanding urban landscape. Focusing on the pivotal role of the Social Worker in Kenya's capital city, this study investigates how contextual challenges impact service delivery for vulnerable populations, with specific attention to child welfare and urban poverty. The findings aim to inform policy reforms and capacity-building initiatives for Social Workers operating in Nairobi's complex socio-economic environment.</w:t>
      </w:r>
    </w:p>
    <w:bookmarkStart w:id="20" w:name="introduction"/>
    <w:p>
      <w:pPr>
        <w:pStyle w:val="Heading2"/>
      </w:pPr>
      <w:r>
        <w:t xml:space="preserve">1. Introduction</w:t>
      </w:r>
    </w:p>
    <w:p>
      <w:pPr>
        <w:pStyle w:val="FirstParagraph"/>
      </w:pPr>
      <w:r>
        <w:t xml:space="preserve">Nairobi, Kenya's bustling capital and economic hub, hosts over 4 million residents in conditions of severe urban poverty. As the city expands at an unprecedented rate, informal settlements like Kibera and Mathare face acute challenges including child exploitation, inadequate healthcare access, and fragile family structures. Within this context, the Social Worker emerges as a frontline agent for social justice—yet operates under immense strain due to systemic underfunding, overwhelming caseloads (often exceeding 200 clients per worker), and limited interagency coordination. This research directly addresses the urgent need to strengthen the efficacy of Social Workers in Nairobi through evidence-based interventions that respond to the city's unique developmental challenges.</w:t>
      </w:r>
    </w:p>
    <w:bookmarkEnd w:id="20"/>
    <w:bookmarkStart w:id="21" w:name="problem-statement"/>
    <w:p>
      <w:pPr>
        <w:pStyle w:val="Heading2"/>
      </w:pPr>
      <w:r>
        <w:t xml:space="preserve">2. Problem Statement</w:t>
      </w:r>
    </w:p>
    <w:p>
      <w:pPr>
        <w:pStyle w:val="FirstParagraph"/>
      </w:pPr>
      <w:r>
        <w:t xml:space="preserve">Despite Kenya's progressive legal frameworks (including the Children Act 2001 and National Social Service Policy), implementation gaps persist in Nairobi. A 2023 Kenya National Bureau of Statistics report revealed that 68% of children in informal settlements experience at least one form of abuse or neglect, with only 15% receiving formal social work intervention. This disconnect stems from three critical issues: (a) fragmented service delivery between government departments, NGOs, and community-based organizations; (b) inadequate training for Social Workers on urban-specific challenges like gang involvement and HIV/AIDS-related stigma; and (c) insufficient recognition of the Social Worker's role within Nairobi's emergency response systems. Without addressing these barriers, vulnerable children and families in Kenya's capital remain trapped in cycles of poverty.</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rPr>
          <w:bCs/>
          <w:b/>
        </w:rPr>
        <w:t xml:space="preserve">Primary:</w:t>
      </w:r>
      <w:r>
        <w:t xml:space="preserve"> </w:t>
      </w:r>
      <w:r>
        <w:t xml:space="preserve">Assess the operational challenges faced by Social Workers delivering child welfare services across Nairobi's administrative divisions (Nairobi City County, 5 sub-counties).</w:t>
      </w:r>
    </w:p>
    <w:p>
      <w:pPr>
        <w:numPr>
          <w:ilvl w:val="0"/>
          <w:numId w:val="1001"/>
        </w:numPr>
        <w:pStyle w:val="Compact"/>
      </w:pPr>
      <w:r>
        <w:rPr>
          <w:bCs/>
          <w:b/>
        </w:rPr>
        <w:t xml:space="preserve">Secondary:</w:t>
      </w:r>
      <w:r>
        <w:t xml:space="preserve"> </w:t>
      </w:r>
      <w:r>
        <w:t xml:space="preserve">Evaluate the effectiveness of current interventions in reducing child poverty indicators (malnutrition, school dropout rates) in high-risk areas.</w:t>
      </w:r>
    </w:p>
    <w:p>
      <w:pPr>
        <w:numPr>
          <w:ilvl w:val="0"/>
          <w:numId w:val="1001"/>
        </w:numPr>
        <w:pStyle w:val="Compact"/>
      </w:pPr>
      <w:r>
        <w:rPr>
          <w:bCs/>
          <w:b/>
        </w:rPr>
        <w:t xml:space="preserve">Tertiary:</w:t>
      </w:r>
      <w:r>
        <w:t xml:space="preserve"> </w:t>
      </w:r>
      <w:r>
        <w:t xml:space="preserve">Develop a culturally grounded framework for strengthening Social Worker capacity and interagency collaboration tailored to Nairobi's urban context.</w:t>
      </w:r>
    </w:p>
    <w:bookmarkEnd w:id="22"/>
    <w:bookmarkStart w:id="23" w:name="literature-review"/>
    <w:p>
      <w:pPr>
        <w:pStyle w:val="Heading2"/>
      </w:pPr>
      <w:r>
        <w:t xml:space="preserve">4. Literature Review</w:t>
      </w:r>
    </w:p>
    <w:p>
      <w:pPr>
        <w:pStyle w:val="FirstParagraph"/>
      </w:pPr>
      <w:r>
        <w:t xml:space="preserve">Existing studies on Social Work in Kenya (e.g., Mwangi, 2020; Ochieng &amp; Obiero, 2019) highlight systemic underinvestment but rarely focus on Nairobi's urban dynamics. International literature (UNICEF, 2021) emphasizes that effective social work in megacities requires "place-based" approaches—yet Nairobi's unique challenges (e.g., rapid migration from rural Kenya, dense informal settlements, and political marginalization of slum communities) demand localized solutions. Crucially, the Kenyan Social Work Association (KSWA) identifies a 40% attrition rate among Nairobi-based Social Workers due to burnout—a gap this research directly addresses through resilience-focused strategies.</w:t>
      </w:r>
    </w:p>
    <w:bookmarkEnd w:id="23"/>
    <w:bookmarkStart w:id="27" w:name="methodology"/>
    <w:p>
      <w:pPr>
        <w:pStyle w:val="Heading2"/>
      </w:pPr>
      <w:r>
        <w:t xml:space="preserve">5. Methodology</w:t>
      </w:r>
    </w:p>
    <w:p>
      <w:pPr>
        <w:pStyle w:val="FirstParagraph"/>
      </w:pPr>
      <w:r>
        <w:t xml:space="preserve">A mixed-methods approach will be employed over 18 months, ensuring rigorous triangulation of data:</w:t>
      </w:r>
    </w:p>
    <w:bookmarkStart w:id="24" w:name="quantitative-component"/>
    <w:p>
      <w:pPr>
        <w:pStyle w:val="Heading3"/>
      </w:pPr>
      <w:r>
        <w:t xml:space="preserve">Quantitative Component</w:t>
      </w:r>
    </w:p>
    <w:p>
      <w:pPr>
        <w:pStyle w:val="FirstParagraph"/>
      </w:pPr>
      <w:r>
        <w:t xml:space="preserve">• Survey of 180 Social Workers across Nairobi County (stratified by agency type: government, NGO, faith-based) using validated tools measuring workloads, job satisfaction, and service outcomes.</w:t>
      </w:r>
    </w:p>
    <w:bookmarkEnd w:id="24"/>
    <w:bookmarkStart w:id="25" w:name="qualitative-component"/>
    <w:p>
      <w:pPr>
        <w:pStyle w:val="Heading3"/>
      </w:pPr>
      <w:r>
        <w:t xml:space="preserve">Qualitative Component</w:t>
      </w:r>
    </w:p>
    <w:p>
      <w:pPr>
        <w:pStyle w:val="FirstParagraph"/>
      </w:pPr>
      <w:r>
        <w:t xml:space="preserve">• In-depth interviews with 45 key informants (Social Workers, County officials, community leaders in Kibera/Mathare).</w:t>
      </w:r>
    </w:p>
    <w:p>
      <w:pPr>
        <w:pStyle w:val="BodyText"/>
      </w:pPr>
      <w:r>
        <w:t xml:space="preserve">• Participatory workshops with 120 caregivers and adolescent girls in high-risk neighborhoods to co-design solutions.</w:t>
      </w:r>
    </w:p>
    <w:bookmarkEnd w:id="25"/>
    <w:bookmarkStart w:id="26" w:name="data-analysis"/>
    <w:p>
      <w:pPr>
        <w:pStyle w:val="Heading3"/>
      </w:pPr>
      <w:r>
        <w:t xml:space="preserve">Data Analysis</w:t>
      </w:r>
    </w:p>
    <w:p>
      <w:pPr>
        <w:pStyle w:val="FirstParagraph"/>
      </w:pPr>
      <w:r>
        <w:t xml:space="preserve">NVivo software will analyze qualitative data for thematic patterns, while SPSS will identify correlations (e.g., between caseload size and child welfare outcomes). Ethical approval will be sought from Kenyatta University’s Ethics Committee and Nairobi City County Health Department.</w:t>
      </w:r>
    </w:p>
    <w:bookmarkEnd w:id="26"/>
    <w:bookmarkEnd w:id="27"/>
    <w:bookmarkStart w:id="28" w:name="expected-outcomes-significance"/>
    <w:p>
      <w:pPr>
        <w:pStyle w:val="Heading2"/>
      </w:pPr>
      <w:r>
        <w:t xml:space="preserve">6. Expected Outcomes &amp; Significance</w:t>
      </w:r>
    </w:p>
    <w:p>
      <w:pPr>
        <w:pStyle w:val="FirstParagraph"/>
      </w:pPr>
      <w:r>
        <w:t xml:space="preserve">This research promises transformative outcomes for Social Workers in Kenya Nairobi:</w:t>
      </w:r>
    </w:p>
    <w:p>
      <w:pPr>
        <w:numPr>
          <w:ilvl w:val="0"/>
          <w:numId w:val="1002"/>
        </w:numPr>
        <w:pStyle w:val="Compact"/>
      </w:pPr>
      <w:r>
        <w:rPr>
          <w:bCs/>
          <w:b/>
        </w:rPr>
        <w:t xml:space="preserve">Practical Tools:</w:t>
      </w:r>
      <w:r>
        <w:t xml:space="preserve"> </w:t>
      </w:r>
      <w:r>
        <w:t xml:space="preserve">A mobile-based case management toolkit customized for Nairobi's informal settlements, integrating real-time data on child safety risks.</w:t>
      </w:r>
    </w:p>
    <w:p>
      <w:pPr>
        <w:numPr>
          <w:ilvl w:val="0"/>
          <w:numId w:val="1002"/>
        </w:numPr>
        <w:pStyle w:val="Compact"/>
      </w:pPr>
      <w:r>
        <w:rPr>
          <w:bCs/>
          <w:b/>
        </w:rPr>
        <w:t xml:space="preserve">Policy Influence:</w:t>
      </w:r>
      <w:r>
        <w:t xml:space="preserve"> </w:t>
      </w:r>
      <w:r>
        <w:t xml:space="preserve">Evidence to advocate for increased county government budget allocation toward Social Worker salaries (currently 0.2% of Nairobi County's health budget) and streamlined referral systems.</w:t>
      </w:r>
    </w:p>
    <w:p>
      <w:pPr>
        <w:numPr>
          <w:ilvl w:val="0"/>
          <w:numId w:val="1002"/>
        </w:numPr>
        <w:pStyle w:val="Compact"/>
      </w:pPr>
      <w:r>
        <w:rPr>
          <w:bCs/>
          <w:b/>
        </w:rPr>
        <w:t xml:space="preserve">Capacity Building:</w:t>
      </w:r>
      <w:r>
        <w:t xml:space="preserve"> </w:t>
      </w:r>
      <w:r>
        <w:t xml:space="preserve">A training module addressing Nairobi-specific scenarios (e.g., negotiating with landlords in informal settlements, crisis intervention during election-related violence).</w:t>
      </w:r>
    </w:p>
    <w:p>
      <w:pPr>
        <w:pStyle w:val="FirstParagraph"/>
      </w:pPr>
      <w:r>
        <w:t xml:space="preserve">The significance extends beyond academia: By strengthening the Social Worker's role, this research directly advances Kenya's Vision 2030 goals for "inclusive growth" and Sustainable Development Goal 1 (No Poverty). Crucially, it centers the lived experience of Nairobi's most marginalized—ensuring solutions are community-driven rather than externally imposed.</w:t>
      </w:r>
    </w:p>
    <w:p>
      <w:pPr>
        <w:pStyle w:val="BodyText"/>
      </w:pPr>
      <w:r>
        <w:rPr>
          <w:bCs/>
          <w:b/>
        </w:rPr>
        <w:t xml:space="preserve">Why This Matters for Nairobi:</w:t>
      </w:r>
      <w:r>
        <w:t xml:space="preserve"> </w:t>
      </w:r>
      <w:r>
        <w:t xml:space="preserve">As Kenya's urban population grows by 5% annually, Nairobi faces an imminent crisis in child welfare services. Without strategic investment in the Social Worker—a role uniquely equipped to bridge policy and community—the city risks escalating humanitarian challenges. This research positions Nairobi as a model for social work innovation across Africa's rapidly urbanizing regions.</w:t>
      </w:r>
    </w:p>
    <w:bookmarkEnd w:id="28"/>
    <w:bookmarkStart w:id="29"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Activities</w:t>
            </w:r>
          </w:p>
        </w:tc>
      </w:tr>
      <w:tr>
        <w:tc>
          <w:tcPr/>
          <w:p>
            <w:pPr>
              <w:pStyle w:val="Compact"/>
              <w:jc w:val="left"/>
            </w:pPr>
            <w:r>
              <w:t xml:space="preserve">Preparation &amp; Ethics Approval</w:t>
            </w:r>
          </w:p>
        </w:tc>
        <w:tc>
          <w:tcPr/>
          <w:p>
            <w:pPr>
              <w:pStyle w:val="Compact"/>
              <w:jc w:val="left"/>
            </w:pPr>
            <w:r>
              <w:t xml:space="preserve">1-3</w:t>
            </w:r>
          </w:p>
        </w:tc>
        <w:tc>
          <w:tcPr/>
          <w:p>
            <w:pPr>
              <w:pStyle w:val="Compact"/>
              <w:jc w:val="left"/>
            </w:pPr>
            <w:r>
              <w:t xml:space="preserve">Literature review, tool development, ethics clearance with KSWA and County officials.</w:t>
            </w:r>
          </w:p>
        </w:tc>
      </w:tr>
      <w:tr>
        <w:tc>
          <w:tcPr/>
          <w:p>
            <w:pPr>
              <w:pStyle w:val="Compact"/>
              <w:jc w:val="left"/>
            </w:pPr>
            <w:r>
              <w:t xml:space="preserve">Data Collection (Fieldwork)</w:t>
            </w:r>
          </w:p>
        </w:tc>
        <w:tc>
          <w:tcPr/>
          <w:p>
            <w:pPr>
              <w:pStyle w:val="Compact"/>
              <w:jc w:val="left"/>
            </w:pPr>
            <w:r>
              <w:t xml:space="preserve">4-12</w:t>
            </w:r>
          </w:p>
        </w:tc>
        <w:tc>
          <w:tcPr/>
          <w:p>
            <w:pPr>
              <w:pStyle w:val="Compact"/>
              <w:jc w:val="left"/>
            </w:pPr>
            <w:r>
              <w:t xml:space="preserve">Surveys, interviews, workshops across 3 Nairobi sub-counties.</w:t>
            </w:r>
          </w:p>
        </w:tc>
      </w:tr>
      <w:tr>
        <w:tc>
          <w:tcPr/>
          <w:p>
            <w:pPr>
              <w:pStyle w:val="Compact"/>
              <w:jc w:val="left"/>
            </w:pPr>
            <w:r>
              <w:t xml:space="preserve">Data Analysis &amp; Framework Development</w:t>
            </w:r>
          </w:p>
        </w:tc>
        <w:tc>
          <w:tcPr/>
          <w:p>
            <w:pPr>
              <w:pStyle w:val="Compact"/>
              <w:jc w:val="left"/>
            </w:pPr>
            <w:r>
              <w:t xml:space="preserve">13-15</w:t>
            </w:r>
          </w:p>
        </w:tc>
        <w:tc>
          <w:tcPr/>
          <w:p>
            <w:pPr>
              <w:pStyle w:val="Compact"/>
              <w:jc w:val="left"/>
            </w:pPr>
            <w:r>
              <w:t xml:space="preserve">Thematic analysis, toolkit prototyping.</w:t>
            </w:r>
          </w:p>
        </w:tc>
      </w:tr>
      <w:tr>
        <w:tc>
          <w:tcPr/>
          <w:p>
            <w:pPr>
              <w:pStyle w:val="Compact"/>
              <w:jc w:val="left"/>
            </w:pPr>
            <w:r>
              <w:t xml:space="preserve">Stakeholder Validation &amp; Reporting</w:t>
            </w:r>
          </w:p>
        </w:tc>
        <w:tc>
          <w:tcPr/>
          <w:p>
            <w:pPr>
              <w:pStyle w:val="Compact"/>
              <w:jc w:val="left"/>
            </w:pPr>
            <w:r>
              <w:t xml:space="preserve">16-18</w:t>
            </w:r>
          </w:p>
        </w:tc>
        <w:tc>
          <w:tcPr/>
          <w:p>
            <w:pPr>
              <w:pStyle w:val="Compact"/>
              <w:jc w:val="left"/>
            </w:pPr>
            <w:r>
              <w:t xml:space="preserve">Presentation to Nairobi County Executive Committee, policy briefs for Ministry of Gender.</w:t>
            </w:r>
          </w:p>
        </w:tc>
      </w:tr>
    </w:tbl>
    <w:bookmarkEnd w:id="29"/>
    <w:bookmarkStart w:id="30" w:name="conclusion"/>
    <w:p>
      <w:pPr>
        <w:pStyle w:val="Heading2"/>
      </w:pPr>
      <w:r>
        <w:t xml:space="preserve">8. Conclusion</w:t>
      </w:r>
    </w:p>
    <w:p>
      <w:pPr>
        <w:pStyle w:val="FirstParagraph"/>
      </w:pPr>
      <w:r>
        <w:t xml:space="preserve">Nairobi's future hinges on effective social work systems that protect its most vulnerable children and families. This research proposal establishes a clear pathway to transform the Social Worker from a strained frontline responder into an empowered catalyst for change within Kenya Nairobi's urban ecosystem. By grounding solutions in Nairobi's reality—from Kibera's streets to the County Government offices—we will generate actionable knowledge that elevates both practice and policy. The ultimate goal is not merely academic contribution, but measurable improvement in the lives of thousands of children navigating survival in one of Africa’s most dynamic cities.</w:t>
      </w:r>
    </w:p>
    <w:p>
      <w:pPr>
        <w:pStyle w:val="BodyText"/>
      </w:pPr>
      <w:r>
        <w:rPr>
          <w:bCs/>
          <w:b/>
        </w:rPr>
        <w:t xml:space="preserve">Keywords:</w:t>
      </w:r>
      <w:r>
        <w:t xml:space="preserve"> </w:t>
      </w:r>
      <w:r>
        <w:t xml:space="preserve">Social Worker, Kenya Nairobi, Urban Poverty, Child Welfare, Social Work Practice, Nairobi County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Social Worker Impact in Urban Poverty and Child Welfare in Nairobi, Kenya</dc:title>
  <dc:creator/>
  <dc:language>en</dc:language>
  <cp:keywords/>
  <dcterms:created xsi:type="dcterms:W3CDTF">2026-07-23T14:09:53Z</dcterms:created>
  <dcterms:modified xsi:type="dcterms:W3CDTF">2026-07-23T14:09:53Z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