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Cultural</w:t>
      </w:r>
      <w:r>
        <w:t xml:space="preserve"> </w:t>
      </w:r>
      <w:r>
        <w:t xml:space="preserve">Safety</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11e073c8af07e2a0254215f6b1ded81696aa72"/>
    <w:p>
      <w:pPr>
        <w:pStyle w:val="Heading1"/>
      </w:pPr>
      <w:r>
        <w:t xml:space="preserve">Research Proposal: Advancing Cultural Safety for Social Workers in New Zealand Auckland</w:t>
      </w:r>
    </w:p>
    <w:bookmarkStart w:id="20" w:name="introduction-and-context"/>
    <w:p>
      <w:pPr>
        <w:pStyle w:val="Heading2"/>
      </w:pPr>
      <w:r>
        <w:t xml:space="preserve">Introduction and Context</w:t>
      </w:r>
    </w:p>
    <w:p>
      <w:pPr>
        <w:pStyle w:val="FirstParagraph"/>
      </w:pPr>
      <w:r>
        <w:t xml:space="preserve">New Zealand Auckland, the nation's largest urban center and cultural hub, faces complex social challenges requiring highly skilled Social Workers to navigate diverse communities. With over 1.6 million residents representing 50+ ethnicities and significant Māori and Pasifika populations, Auckland demands social work practice grounded in Te Tiriti o Waitangi (Treaty of Waitangi) principles and culturally responsive frameworks. Current systemic pressures—including housing crises, intergenerational poverty, and rising mental health needs—place immense strain on Social Workers operating across Auckland's community services. This research addresses a critical gap: the lack of localized evidence on how Cultural Safety competencies directly impact service delivery outcomes for Māori and Pasifika clients within Auckland's unique socio-cultural landscape. The proposed study will generate actionable insights specifically for Social Workers embedded in Aotearoa New Zealand contexts.</w:t>
      </w:r>
    </w:p>
    <w:bookmarkEnd w:id="20"/>
    <w:bookmarkStart w:id="21" w:name="problem-statement"/>
    <w:p>
      <w:pPr>
        <w:pStyle w:val="Heading2"/>
      </w:pPr>
      <w:r>
        <w:t xml:space="preserve">Problem Statement</w:t>
      </w:r>
    </w:p>
    <w:p>
      <w:pPr>
        <w:pStyle w:val="FirstParagraph"/>
      </w:pPr>
      <w:r>
        <w:t xml:space="preserve">Despite national initiatives like Te Whatu Ora (Health New Zealand) and the Ministry of Social Development's cultural safety mandates, Auckland Social Workers report inconsistent application of Cultural Safety in practice. A 2023 Auckland Council survey revealed 68% of frontline workers felt unsupported in navigating complex cultural intersections, particularly for Māori and Pasifika families facing welfare system barriers. This gap contributes to poorer outcomes: Auckland's Māori children remain overrepresented in child protection statistics (47% of cases), while Pasifika youth suicide rates are 1.8x higher than the national average. Without evidence-based strategies tailored to Auckland's specific urban-ethnic dynamics, Social Workers risk perpetuating inequities rather than driving systemic change within New Zealand's most diverse city.</w:t>
      </w:r>
    </w:p>
    <w:bookmarkEnd w:id="21"/>
    <w:bookmarkStart w:id="22" w:name="research-objectives"/>
    <w:p>
      <w:pPr>
        <w:pStyle w:val="Heading2"/>
      </w:pPr>
      <w:r>
        <w:t xml:space="preserve">Research Objectives</w:t>
      </w:r>
    </w:p>
    <w:p>
      <w:pPr>
        <w:numPr>
          <w:ilvl w:val="0"/>
          <w:numId w:val="1001"/>
        </w:numPr>
        <w:pStyle w:val="Compact"/>
      </w:pPr>
      <w:r>
        <w:t xml:space="preserve">To identify the key Cultural Safety competencies that significantly improve service engagement and outcomes for Māori and Pasifika clients in Auckland community settings.</w:t>
      </w:r>
    </w:p>
    <w:p>
      <w:pPr>
        <w:numPr>
          <w:ilvl w:val="0"/>
          <w:numId w:val="1001"/>
        </w:numPr>
        <w:pStyle w:val="Compact"/>
      </w:pPr>
      <w:r>
        <w:t xml:space="preserve">To analyze how Auckland-specific contextual factors (e.g., rapid urbanization, housing instability, ethnic concentration in areas like Manukau and Otara) influence Social Worker efficacy.</w:t>
      </w:r>
    </w:p>
    <w:p>
      <w:pPr>
        <w:numPr>
          <w:ilvl w:val="0"/>
          <w:numId w:val="1001"/>
        </w:numPr>
        <w:pStyle w:val="Compact"/>
      </w:pPr>
      <w:r>
        <w:t xml:space="preserve">To co-design a culturally grounded training framework for Social Workers operating within New Zealand's Auckland environment, prioritizing Māori and Pasifika leadership.</w:t>
      </w:r>
    </w:p>
    <w:bookmarkEnd w:id="22"/>
    <w:bookmarkStart w:id="23" w:name="literature-review"/>
    <w:p>
      <w:pPr>
        <w:pStyle w:val="Heading2"/>
      </w:pPr>
      <w:r>
        <w:t xml:space="preserve">Literature Review</w:t>
      </w:r>
    </w:p>
    <w:p>
      <w:pPr>
        <w:pStyle w:val="FirstParagraph"/>
      </w:pPr>
      <w:r>
        <w:t xml:space="preserve">Existing research emphasizes Cultural Safety as non-negotiable in Aotearoa social work (Durie, 1998; Ruru, 2016), yet most studies focus on rural or national scales. New Zealand-specific literature (e.g., Turoa et al., 2021) highlights Auckland's unique challenges: high client turnover in South Auckland agencies reduces relationship depth, while resource constraints limit time for culturally embedded practice. Crucially, no study has examined how Auckland’s specific geography (e.g., transport barriers between West and East Auckland) directly impacts Social Worker capacity. This research bridges that gap by centering the lived experience of Social Workers within New Zealand's most dynamic city.</w:t>
      </w:r>
    </w:p>
    <w:bookmarkEnd w:id="23"/>
    <w:bookmarkStart w:id="24" w:name="methodology"/>
    <w:p>
      <w:pPr>
        <w:pStyle w:val="Heading2"/>
      </w:pPr>
      <w:r>
        <w:t xml:space="preserve">Methodology</w:t>
      </w:r>
    </w:p>
    <w:p>
      <w:pPr>
        <w:pStyle w:val="FirstParagraph"/>
      </w:pPr>
      <w:r>
        <w:t xml:space="preserve">This mixed-methods study employs a Kaupapa Māori approach, co-designed with Auckland iwi partners (e.g., Te Rūnanga o Ngāti Whatua) and Pasifika community leaders. Phase 1: Semi-structured interviews with 30+ Social Workers from diverse Auckland agencies (including Te Whānau o Waipareira, Manukau City Council Social Services, and Pacific Community Health). Phase 2: Analysis of anonymized service outcome data (with ethics approval) comparing cases where Cultural Safety was explicitly applied versus standard practice. Phase 3: Co-facilitated workshops with Māori/Pasifika clients and Social Workers to prototype the training framework. Sampling prioritizes agencies serving high-risk Auckland communities, ensuring findings directly inform local practice.</w:t>
      </w:r>
    </w:p>
    <w:bookmarkEnd w:id="24"/>
    <w:bookmarkStart w:id="25" w:name="expected-outcomes-and-significance"/>
    <w:p>
      <w:pPr>
        <w:pStyle w:val="Heading2"/>
      </w:pPr>
      <w:r>
        <w:t xml:space="preserve">Expected Outcomes and Significance</w:t>
      </w:r>
    </w:p>
    <w:p>
      <w:pPr>
        <w:pStyle w:val="FirstParagraph"/>
      </w:pPr>
      <w:r>
        <w:t xml:space="preserve">Findings will produce a culturally validated toolkit for Social Workers in New Zealand Auckland, including:</w:t>
      </w:r>
    </w:p>
    <w:p>
      <w:pPr>
        <w:numPr>
          <w:ilvl w:val="0"/>
          <w:numId w:val="1002"/>
        </w:numPr>
        <w:pStyle w:val="Compact"/>
      </w:pPr>
      <w:r>
        <w:t xml:space="preserve">A contextualized Cultural Safety competency model specific to urban Aotearoa.</w:t>
      </w:r>
    </w:p>
    <w:p>
      <w:pPr>
        <w:numPr>
          <w:ilvl w:val="0"/>
          <w:numId w:val="1002"/>
        </w:numPr>
        <w:pStyle w:val="Compact"/>
      </w:pPr>
      <w:r>
        <w:t xml:space="preserve">Protocols addressing Auckland’s unique barriers (e.g., "cultural safety checklists" for housing crises in Mangere).</w:t>
      </w:r>
    </w:p>
    <w:p>
      <w:pPr>
        <w:numPr>
          <w:ilvl w:val="0"/>
          <w:numId w:val="1002"/>
        </w:numPr>
        <w:pStyle w:val="Compact"/>
      </w:pPr>
      <w:r>
        <w:t xml:space="preserve">Policy recommendations for Auckland Council and WorkSafe New Zealand to fund culturally safe caseload structures.</w:t>
      </w:r>
    </w:p>
    <w:p>
      <w:pPr>
        <w:pStyle w:val="FirstParagraph"/>
      </w:pPr>
      <w:r>
        <w:t xml:space="preserve">Critically, this research directly supports the Social Worker’s role as an advocate within the Te Tiriti o Waitangi partnership. By centering Māori and Pasifika voices, it moves beyond tokenism to generate solutions that reduce systemic inequities—a priority for New Zealand's national social work strategy.</w:t>
      </w:r>
    </w:p>
    <w:bookmarkEnd w:id="25"/>
    <w:bookmarkStart w:id="26" w:name="timeline-and-resources"/>
    <w:p>
      <w:pPr>
        <w:pStyle w:val="Heading2"/>
      </w:pPr>
      <w:r>
        <w:t xml:space="preserve">Timeline and Resources</w:t>
      </w:r>
    </w:p>
    <w:p>
      <w:pPr>
        <w:pStyle w:val="FirstParagraph"/>
      </w:pPr>
      <w:r>
        <w:t xml:space="preserve">The 18-month project will be conducted in Auckland with the following phases:</w:t>
      </w:r>
    </w:p>
    <w:p>
      <w:pPr>
        <w:numPr>
          <w:ilvl w:val="0"/>
          <w:numId w:val="1003"/>
        </w:numPr>
        <w:pStyle w:val="Compact"/>
      </w:pPr>
      <w:r>
        <w:rPr>
          <w:bCs/>
          <w:b/>
        </w:rPr>
        <w:t xml:space="preserve">Months 1-3:</w:t>
      </w:r>
      <w:r>
        <w:t xml:space="preserve"> </w:t>
      </w:r>
      <w:r>
        <w:t xml:space="preserve">Ethics approval, partnership agreements with Auckland iwi and community organizations.</w:t>
      </w:r>
    </w:p>
    <w:p>
      <w:pPr>
        <w:numPr>
          <w:ilvl w:val="0"/>
          <w:numId w:val="1003"/>
        </w:numPr>
        <w:pStyle w:val="Compact"/>
      </w:pPr>
      <w:r>
        <w:rPr>
          <w:bCs/>
          <w:b/>
        </w:rPr>
        <w:t xml:space="preserve">Months 4-9:</w:t>
      </w:r>
      <w:r>
        <w:t xml:space="preserve"> </w:t>
      </w:r>
      <w:r>
        <w:t xml:space="preserve">Data collection (interviews, service data analysis) across 5 Auckland regions.</w:t>
      </w:r>
    </w:p>
    <w:p>
      <w:pPr>
        <w:numPr>
          <w:ilvl w:val="0"/>
          <w:numId w:val="1003"/>
        </w:numPr>
        <w:pStyle w:val="Compact"/>
      </w:pPr>
      <w:r>
        <w:rPr>
          <w:bCs/>
          <w:b/>
        </w:rPr>
        <w:t xml:space="preserve">Months 10-14:</w:t>
      </w:r>
      <w:r>
        <w:t xml:space="preserve"> </w:t>
      </w:r>
      <w:r>
        <w:t xml:space="preserve">Co-design workshops and draft toolkit development in collaboration with Social Workers and clients.</w:t>
      </w:r>
    </w:p>
    <w:p>
      <w:pPr>
        <w:numPr>
          <w:ilvl w:val="0"/>
          <w:numId w:val="1003"/>
        </w:numPr>
        <w:pStyle w:val="Compact"/>
      </w:pPr>
      <w:r>
        <w:rPr>
          <w:bCs/>
          <w:b/>
        </w:rPr>
        <w:t xml:space="preserve">Months 15-18:</w:t>
      </w:r>
      <w:r>
        <w:t xml:space="preserve"> </w:t>
      </w:r>
      <w:r>
        <w:t xml:space="preserve">Validation workshop with Auckland District Health Board, Ministry of Social Development, and final report.</w:t>
      </w:r>
    </w:p>
    <w:p>
      <w:pPr>
        <w:pStyle w:val="FirstParagraph"/>
      </w:pPr>
      <w:r>
        <w:t xml:space="preserve">Required resources include researcher stipends (Auckland-based), participant honorariums for Māori/Pasifika advisors, and partnership funding from Auckland Council’s Community Wellbeing Fund. The project aligns with the 2023 Auckland Plan’s goal of "equitable access to services."</w:t>
      </w:r>
    </w:p>
    <w:bookmarkEnd w:id="26"/>
    <w:bookmarkStart w:id="27" w:name="conclusion"/>
    <w:p>
      <w:pPr>
        <w:pStyle w:val="Heading2"/>
      </w:pPr>
      <w:r>
        <w:t xml:space="preserve">Conclusion</w:t>
      </w:r>
    </w:p>
    <w:p>
      <w:pPr>
        <w:pStyle w:val="FirstParagraph"/>
      </w:pPr>
      <w:r>
        <w:t xml:space="preserve">As Social Workers navigate New Zealand Auckland's unprecedented diversity and complexity, this research provides an urgent, localized pathway to meaningful practice transformation. It transcends generic cultural competency by embedding solutions within Auckland’s specific realities—from the Māori-led Whānau Ora approach in Waitakere to Pasifika community resilience models in Otara. By prioritizing the voices of those served and those delivering care, this study will empower Social Workers to uphold Te Tiriti obligations while achieving tangible improvements in wellbeing outcomes. The findings will be disseminated through Auckland’s Social Work Network, University of Auckland’s School of Population Health, and a public policy brief for the Ministry of Social Development. Ultimately, this research is not merely academic; it is a practical step toward ensuring every Social Worker in New Zealand Auckland operates as an agent of equitable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Cultural Safety for Social Workers in New Zealand Auckland</dc:title>
  <dc:creator/>
  <dc:language>en</dc:language>
  <cp:keywords/>
  <dcterms:created xsi:type="dcterms:W3CDTF">2026-07-24T12:29:03Z</dcterms:created>
  <dcterms:modified xsi:type="dcterms:W3CDTF">2026-07-24T12:29:03Z</dcterms:modified>
</cp:coreProperties>
</file>

<file path=docProps/custom.xml><?xml version="1.0" encoding="utf-8"?>
<Properties xmlns="http://schemas.openxmlformats.org/officeDocument/2006/custom-properties" xmlns:vt="http://schemas.openxmlformats.org/officeDocument/2006/docPropsVTypes"/>
</file>