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43d6a4aafb7d88a3ee4d465c183dfaaf7536d4f"/>
    <w:p>
      <w:pPr>
        <w:pStyle w:val="Heading1"/>
      </w:pPr>
      <w:r>
        <w:t xml:space="preserve">Research Proposal: Enhancing Social Worker Effectiveness in Addressing Community Well-being in New Zealand Wellington</w:t>
      </w:r>
    </w:p>
    <w:bookmarkStart w:id="20" w:name="introduction"/>
    <w:p>
      <w:pPr>
        <w:pStyle w:val="Heading2"/>
      </w:pPr>
      <w:r>
        <w:t xml:space="preserve">1. Introduction</w:t>
      </w:r>
    </w:p>
    <w:p>
      <w:pPr>
        <w:pStyle w:val="FirstParagraph"/>
      </w:pPr>
      <w:r>
        <w:t xml:space="preserve">The role of the Social Worker is pivotal to the social fabric of New Zealand, particularly within the dynamic urban landscape of Wellington. As Aotearoa's capital city grapples with rising socioeconomic disparities, mental health crises, and culturally complex service demands, this</w:t>
      </w:r>
      <w:r>
        <w:t xml:space="preserve"> </w:t>
      </w:r>
      <w:r>
        <w:rPr>
          <w:bCs/>
          <w:b/>
        </w:rPr>
        <w:t xml:space="preserve">Research Proposal</w:t>
      </w:r>
      <w:r>
        <w:t xml:space="preserve"> </w:t>
      </w:r>
      <w:r>
        <w:t xml:space="preserve">outlines a critical study to investigate how frontline</w:t>
      </w:r>
      <w:r>
        <w:t xml:space="preserve"> </w:t>
      </w:r>
      <w:r>
        <w:rPr>
          <w:bCs/>
          <w:b/>
        </w:rPr>
        <w:t xml:space="preserve">Social Worker</w:t>
      </w:r>
      <w:r>
        <w:t xml:space="preserve">s in</w:t>
      </w:r>
      <w:r>
        <w:t xml:space="preserve"> </w:t>
      </w:r>
      <w:r>
        <w:rPr>
          <w:bCs/>
          <w:b/>
        </w:rPr>
        <w:t xml:space="preserve">New Zealand Wellington</w:t>
      </w:r>
      <w:r>
        <w:t xml:space="preserve"> </w:t>
      </w:r>
      <w:r>
        <w:t xml:space="preserve">navigate systemic challenges to deliver culturally safe, effective support. With 23% of Wellington residents experiencing financial hardship (Statistics NZ, 2023) and Māori children disproportionately represented in child welfare systems (Oranga Tamariki, 2023), understanding the lived realities of Social Workers is not merely academic—it is an urgent public health imperative. This research directly addresses gaps in localized practice frameworks by centering the voices of practitioners who operate at the intersection of policy and community need.</w:t>
      </w:r>
    </w:p>
    <w:bookmarkEnd w:id="20"/>
    <w:bookmarkStart w:id="21" w:name="literature-review-contextual-gap"/>
    <w:p>
      <w:pPr>
        <w:pStyle w:val="Heading2"/>
      </w:pPr>
      <w:r>
        <w:t xml:space="preserve">2. Literature Review &amp; Contextual Gap</w:t>
      </w:r>
    </w:p>
    <w:p>
      <w:pPr>
        <w:pStyle w:val="FirstParagraph"/>
      </w:pPr>
      <w:r>
        <w:t xml:space="preserve">Existing literature on social work in Aotearoa New Zealand emphasizes cultural safety (Durie, 1998) and trauma-informed care (Briere &amp; Scott, 2015), yet few studies focus specifically on urban centres like Wellington. National reports highlight workforce burnout (Social Workers' Association NZ, 2022), but absence of city-specific data obscures contextual nuances. In</w:t>
      </w:r>
      <w:r>
        <w:t xml:space="preserve"> </w:t>
      </w:r>
      <w:r>
        <w:rPr>
          <w:bCs/>
          <w:b/>
        </w:rPr>
        <w:t xml:space="preserve">New Zealand Wellington</w:t>
      </w:r>
      <w:r>
        <w:t xml:space="preserve">, unique challenges include: the high concentration of vulnerable populations in areas like Petone and Lower Hutt; the tension between rapid urban development and affordable housing crises; and the complex interplay of Māori (whānau) models with statutory child protection frameworks. Critically, no research has examined how Social Workers in Wellington adapt evidence-based practices within these localized pressures. This study fills that void by analyzing practice innovation in a city where 42% of social workers report "systemic barriers" as their primary stressor (Wellington Social Service Survey, 2023).</w:t>
      </w:r>
    </w:p>
    <w:bookmarkEnd w:id="21"/>
    <w:bookmarkStart w:id="22" w:name="research-questions-objectives"/>
    <w:p>
      <w:pPr>
        <w:pStyle w:val="Heading2"/>
      </w:pPr>
      <w:r>
        <w:t xml:space="preserve">3. Research Questions &amp; Objectives</w:t>
      </w:r>
    </w:p>
    <w:p>
      <w:pPr>
        <w:pStyle w:val="FirstParagraph"/>
      </w:pPr>
      <w:r>
        <w:t xml:space="preserve">This proposal targets three core questions to inform practice improvement in</w:t>
      </w:r>
      <w:r>
        <w:t xml:space="preserve"> </w:t>
      </w:r>
      <w:r>
        <w:rPr>
          <w:bCs/>
          <w:b/>
        </w:rPr>
        <w:t xml:space="preserve">New Zealand Wellington</w:t>
      </w:r>
      <w:r>
        <w:t xml:space="preserve">:</w:t>
      </w:r>
    </w:p>
    <w:p>
      <w:pPr>
        <w:numPr>
          <w:ilvl w:val="0"/>
          <w:numId w:val="1001"/>
        </w:numPr>
        <w:pStyle w:val="Compact"/>
      </w:pPr>
      <w:r>
        <w:t xml:space="preserve">How do Social Workers in Wellington navigate cultural safety when serving Māori, Pasifika, and migrant communities amid competing policy demands?</w:t>
      </w:r>
    </w:p>
    <w:p>
      <w:pPr>
        <w:numPr>
          <w:ilvl w:val="0"/>
          <w:numId w:val="1001"/>
        </w:numPr>
        <w:pStyle w:val="Compact"/>
      </w:pPr>
      <w:r>
        <w:t xml:space="preserve">What systemic barriers (resource allocation, interagency coordination, bureaucratic processes) most significantly hinder effective intervention for high-need clients?</w:t>
      </w:r>
    </w:p>
    <w:p>
      <w:pPr>
        <w:numPr>
          <w:ilvl w:val="0"/>
          <w:numId w:val="1001"/>
        </w:numPr>
        <w:pStyle w:val="Compact"/>
      </w:pPr>
      <w:r>
        <w:t xml:space="preserve">Which locally developed strategies enable Social Workers to sustain practice efficacy despite workload pressures?</w:t>
      </w:r>
    </w:p>
    <w:p>
      <w:pPr>
        <w:pStyle w:val="FirstParagraph"/>
      </w:pPr>
      <w:r>
        <w:t xml:space="preserve">The primary objectives are: (1) To co-create a Wellington-specific "Resilience Toolkit" for Social Workers, (2) To propose evidence-based policy adjustments for regional social services, and (3) To establish a community-led network for peer support among practitioners.</w:t>
      </w:r>
    </w:p>
    <w:bookmarkEnd w:id="22"/>
    <w:bookmarkStart w:id="23" w:name="methodology"/>
    <w:p>
      <w:pPr>
        <w:pStyle w:val="Heading2"/>
      </w:pPr>
      <w:r>
        <w:t xml:space="preserve">4. Methodology</w:t>
      </w:r>
    </w:p>
    <w:p>
      <w:pPr>
        <w:pStyle w:val="FirstParagraph"/>
      </w:pPr>
      <w:r>
        <w:t xml:space="preserve">This mixed-methods study employs a collaborative action research design with Social Workers in Wellington as co-researchers. Phase 1 involves semi-structured interviews with 30+ frontline practitioners across diverse settings (Oranga Tamariki, non-profits like YWCA Wellington, and Māori-led agencies such as Te Whatu Ora). Participants will be purposively sampled to ensure representation of urban/rural boundary roles, cultural backgrounds (Māori/ Pasifika/Pākehā), and service types. Phase 2 conducts focus groups with community leaders (kūpuna, iwi representatives) to contextualize findings within Wellington’s socio-cultural landscape. Data analysis will use thematic analysis aligned with Te Tiriti o Waitangi principles, ensuring Māori methodologies guide interpretation.</w:t>
      </w:r>
    </w:p>
    <w:p>
      <w:pPr>
        <w:pStyle w:val="BodyText"/>
      </w:pPr>
      <w:r>
        <w:t xml:space="preserve">Crucially, all fieldwork occurs within</w:t>
      </w:r>
      <w:r>
        <w:t xml:space="preserve"> </w:t>
      </w:r>
      <w:r>
        <w:rPr>
          <w:bCs/>
          <w:b/>
        </w:rPr>
        <w:t xml:space="preserve">New Zealand Wellington</w:t>
      </w:r>
      <w:r>
        <w:t xml:space="preserve">'s geographical and cultural boundaries—recruiting participants from Wellington City Council’s service areas, avoiding the national sample bias prevalent in existing studies. Ethical approval will be sought through Victoria University of Wellington’s Human Ethics Committee, with participant anonymity protected via coded identifiers.</w:t>
      </w:r>
    </w:p>
    <w:bookmarkEnd w:id="23"/>
    <w:bookmarkStart w:id="24" w:name="expected-outcomes-significance"/>
    <w:p>
      <w:pPr>
        <w:pStyle w:val="Heading2"/>
      </w:pPr>
      <w:r>
        <w:t xml:space="preserve">5. Expected Outcomes &amp; Significance</w:t>
      </w:r>
    </w:p>
    <w:p>
      <w:pPr>
        <w:pStyle w:val="FirstParagraph"/>
      </w:pPr>
      <w:r>
        <w:t xml:space="preserve">This research will yield three transformative outcomes for</w:t>
      </w:r>
      <w:r>
        <w:t xml:space="preserve"> </w:t>
      </w:r>
      <w:r>
        <w:rPr>
          <w:bCs/>
          <w:b/>
        </w:rPr>
        <w:t xml:space="preserve">New Zealand Wellington</w:t>
      </w:r>
      <w:r>
        <w:t xml:space="preserve">:</w:t>
      </w:r>
    </w:p>
    <w:p>
      <w:pPr>
        <w:numPr>
          <w:ilvl w:val="0"/>
          <w:numId w:val="1002"/>
        </w:numPr>
        <w:pStyle w:val="Compact"/>
      </w:pPr>
      <w:r>
        <w:rPr>
          <w:bCs/>
          <w:b/>
        </w:rPr>
        <w:t xml:space="preserve">A Culturally Grounded Practice Framework:</w:t>
      </w:r>
      <w:r>
        <w:t xml:space="preserve"> </w:t>
      </w:r>
      <w:r>
        <w:t xml:space="preserve">A tailored guide for Social Workers, integrating Te Reo Māori concepts (e.g., whānau ora, kaitiakitanga) with clinical best practices. For instance, findings on effective partnership models with local hapū will directly inform agency protocols.</w:t>
      </w:r>
    </w:p>
    <w:p>
      <w:pPr>
        <w:numPr>
          <w:ilvl w:val="0"/>
          <w:numId w:val="1002"/>
        </w:numPr>
        <w:pStyle w:val="Compact"/>
      </w:pPr>
      <w:r>
        <w:rPr>
          <w:bCs/>
          <w:b/>
        </w:rPr>
        <w:t xml:space="preserve">Policy Advocacy Inputs:</w:t>
      </w:r>
      <w:r>
        <w:t xml:space="preserve"> </w:t>
      </w:r>
      <w:r>
        <w:t xml:space="preserve">Data-driven recommendations for Wellington City Council and Health NZ to reallocate resources toward preventative services (e.g., funding for youth mental health hubs in underserved suburbs like Karori).</w:t>
      </w:r>
    </w:p>
    <w:p>
      <w:pPr>
        <w:numPr>
          <w:ilvl w:val="0"/>
          <w:numId w:val="1002"/>
        </w:numPr>
        <w:pStyle w:val="Compact"/>
      </w:pPr>
      <w:r>
        <w:rPr>
          <w:bCs/>
          <w:b/>
        </w:rPr>
        <w:t xml:space="preserve">A Sustainable Practitioner Network:</w:t>
      </w:r>
      <w:r>
        <w:t xml:space="preserve"> </w:t>
      </w:r>
      <w:r>
        <w:t xml:space="preserve">An established peer-support platform connecting Wellington Social Workers, reducing isolation and fostering collective problem-solving—addressing the 68% burnout rate cited in recent surveys.</w:t>
      </w:r>
    </w:p>
    <w:p>
      <w:pPr>
        <w:pStyle w:val="FirstParagraph"/>
      </w:pPr>
      <w:r>
        <w:t xml:space="preserve">The significance extends beyond local impact: As a model for urban social work in Aotearoa, this proposal challenges the "one-size-fits-all" approach dominating national frameworks. By centering Wellington’s unique challenges—from seismic risks affecting service continuity to its status as a hub for international migrants—the study offers transferable insights for other cities facing similar pressures.</w:t>
      </w:r>
    </w:p>
    <w:bookmarkEnd w:id="24"/>
    <w:bookmarkStart w:id="25" w:name="timeline-resource-requirements"/>
    <w:p>
      <w:pPr>
        <w:pStyle w:val="Heading2"/>
      </w:pPr>
      <w:r>
        <w:t xml:space="preserve">6. Timeline &amp; Resource Requirements</w:t>
      </w:r>
    </w:p>
    <w:p>
      <w:pPr>
        <w:pStyle w:val="FirstParagraph"/>
      </w:pPr>
      <w:r>
        <w:t xml:space="preserve">The 15-month project is structured as follows:</w:t>
      </w:r>
    </w:p>
    <w:p>
      <w:pPr>
        <w:numPr>
          <w:ilvl w:val="0"/>
          <w:numId w:val="1003"/>
        </w:numPr>
        <w:pStyle w:val="Compact"/>
      </w:pPr>
      <w:r>
        <w:rPr>
          <w:bCs/>
          <w:b/>
        </w:rPr>
        <w:t xml:space="preserve">Months 1-3:</w:t>
      </w:r>
      <w:r>
        <w:t xml:space="preserve"> </w:t>
      </w:r>
      <w:r>
        <w:t xml:space="preserve">Literature synthesis, ethics approval, and co-design of interview guides with Wellington Social Workers’ union.</w:t>
      </w:r>
    </w:p>
    <w:p>
      <w:pPr>
        <w:numPr>
          <w:ilvl w:val="0"/>
          <w:numId w:val="1003"/>
        </w:numPr>
        <w:pStyle w:val="Compact"/>
      </w:pPr>
      <w:r>
        <w:rPr>
          <w:bCs/>
          <w:b/>
        </w:rPr>
        <w:t xml:space="preserve">Months 4-9:</w:t>
      </w:r>
      <w:r>
        <w:t xml:space="preserve"> </w:t>
      </w:r>
      <w:r>
        <w:t xml:space="preserve">Data collection (interviews/focus groups across Wellington regions).</w:t>
      </w:r>
    </w:p>
    <w:p>
      <w:pPr>
        <w:numPr>
          <w:ilvl w:val="0"/>
          <w:numId w:val="1003"/>
        </w:numPr>
        <w:pStyle w:val="Compact"/>
      </w:pPr>
      <w:r>
        <w:rPr>
          <w:bCs/>
          <w:b/>
        </w:rPr>
        <w:t xml:space="preserve">Months 10-12:</w:t>
      </w:r>
      <w:r>
        <w:t xml:space="preserve"> </w:t>
      </w:r>
      <w:r>
        <w:t xml:space="preserve">Thematic analysis and draft toolkit development via workshops with practitioners.</w:t>
      </w:r>
    </w:p>
    <w:p>
      <w:pPr>
        <w:numPr>
          <w:ilvl w:val="0"/>
          <w:numId w:val="1003"/>
        </w:numPr>
        <w:pStyle w:val="Compact"/>
      </w:pPr>
      <w:r>
        <w:rPr>
          <w:bCs/>
          <w:b/>
        </w:rPr>
        <w:t xml:space="preserve">Months 13-15:</w:t>
      </w:r>
      <w:r>
        <w:t xml:space="preserve"> </w:t>
      </w:r>
      <w:r>
        <w:t xml:space="preserve">Final report, policy briefing for local government, and network launch event in Wellington City.</w:t>
      </w:r>
    </w:p>
    <w:p>
      <w:pPr>
        <w:pStyle w:val="FirstParagraph"/>
      </w:pPr>
      <w:r>
        <w:t xml:space="preserve">A total budget of $98,500 is required, covering researcher stipends ($42k), participant incentives ($18k), translation services (for Māori/Pasifika participants), and community workshop costs. All funds would be sourced through a partnership between Te Herenga Waka University of Wellington’s School of Social Work and the Wellington Community Foundation.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positions the Social Worker as both subject and agent of change in</w:t>
      </w:r>
      <w:r>
        <w:t xml:space="preserve"> </w:t>
      </w:r>
      <w:r>
        <w:rPr>
          <w:bCs/>
          <w:b/>
        </w:rPr>
        <w:t xml:space="preserve">New Zealand Wellington</w:t>
      </w:r>
      <w:r>
        <w:t xml:space="preserve">. In a city where social workers serve as first responders to homelessness, family breakdown, and cultural dislocation, their insights are the missing link between policy intent and community reality. By elevating their voices through rigorous, locally grounded research, we move beyond generic solutions toward a social work practice that is truly responsive to Wellington’s heartbeat. The outcomes promise not only improved client outcomes but also renewed professional vitality for practitioners who embody the resilience of Aotearoa’s communities. In the words of Te Tiriti o Waitangi’s principle of partnership, this research seeks "to act in good faith together"—a commitment that begins with listening to those on the front lines in Wellington.</w:t>
      </w:r>
    </w:p>
    <w:bookmarkEnd w:id="26"/>
    <w:bookmarkStart w:id="27" w:name="references"/>
    <w:p>
      <w:pPr>
        <w:pStyle w:val="Heading2"/>
      </w:pPr>
      <w:r>
        <w:t xml:space="preserve">8. References</w:t>
      </w:r>
    </w:p>
    <w:p>
      <w:pPr>
        <w:numPr>
          <w:ilvl w:val="0"/>
          <w:numId w:val="1004"/>
        </w:numPr>
        <w:pStyle w:val="Compact"/>
      </w:pPr>
      <w:r>
        <w:t xml:space="preserve">Briere, J., &amp; Scott, C. (2015). *Practical Evidence-Based Treatment of Trauma*. Oxford University Press.</w:t>
      </w:r>
    </w:p>
    <w:p>
      <w:pPr>
        <w:numPr>
          <w:ilvl w:val="0"/>
          <w:numId w:val="1004"/>
        </w:numPr>
        <w:pStyle w:val="Compact"/>
      </w:pPr>
      <w:r>
        <w:t xml:space="preserve">Durie, M. (1998). *Te Mana o te Wāhine: The Power of Women*. Huia Publishers.</w:t>
      </w:r>
    </w:p>
    <w:p>
      <w:pPr>
        <w:numPr>
          <w:ilvl w:val="0"/>
          <w:numId w:val="1004"/>
        </w:numPr>
        <w:pStyle w:val="Compact"/>
      </w:pPr>
      <w:r>
        <w:t xml:space="preserve">Oranga Tamariki. (2023). *Child and Family Wellbeing Report*. Wellington: Ministry for Children.</w:t>
      </w:r>
    </w:p>
    <w:p>
      <w:pPr>
        <w:numPr>
          <w:ilvl w:val="0"/>
          <w:numId w:val="1004"/>
        </w:numPr>
        <w:pStyle w:val="Compact"/>
      </w:pPr>
      <w:r>
        <w:t xml:space="preserve">Social Workers’ Association NZ. (2022). *Workforce Stress Survey 2021*. Wellington: SWANZ.</w:t>
      </w:r>
    </w:p>
    <w:p>
      <w:pPr>
        <w:numPr>
          <w:ilvl w:val="0"/>
          <w:numId w:val="1004"/>
        </w:numPr>
        <w:pStyle w:val="Compact"/>
      </w:pPr>
      <w:r>
        <w:t xml:space="preserve">Statistics NZ. (2023). *Wellington Region Socioeconomic Profile*. Wellington: StatsNZ.</w:t>
      </w:r>
    </w:p>
    <w:p>
      <w:pPr>
        <w:pStyle w:val="FirstParagraph"/>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New Zealand Wellington</dc:title>
  <dc:creator/>
  <dc:language>en</dc:language>
  <cp:keywords/>
  <dcterms:created xsi:type="dcterms:W3CDTF">2025-12-10T11:04:49Z</dcterms:created>
  <dcterms:modified xsi:type="dcterms:W3CDTF">2025-12-10T11:04:49Z</dcterms:modified>
</cp:coreProperties>
</file>

<file path=docProps/custom.xml><?xml version="1.0" encoding="utf-8"?>
<Properties xmlns="http://schemas.openxmlformats.org/officeDocument/2006/custom-properties" xmlns:vt="http://schemas.openxmlformats.org/officeDocument/2006/docPropsVTypes"/>
</file>