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Well-being</w:t>
      </w:r>
      <w:r>
        <w:t xml:space="preserve"> </w:t>
      </w:r>
      <w:r>
        <w:t xml:space="preserve">and</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c809befc2b30e839859d6dd9dba3dff682bc7b1"/>
    <w:p>
      <w:pPr>
        <w:pStyle w:val="Heading1"/>
      </w:pPr>
      <w:r>
        <w:t xml:space="preserve">Research Proposal: Addressing Contemporary Challenges Facing Social Workers in the United Kingdom London Context</w:t>
      </w:r>
    </w:p>
    <w:bookmarkStart w:id="20" w:name="introduction"/>
    <w:p>
      <w:pPr>
        <w:pStyle w:val="Heading2"/>
      </w:pPr>
      <w:r>
        <w:t xml:space="preserve">1. Introduction</w:t>
      </w:r>
    </w:p>
    <w:p>
      <w:pPr>
        <w:pStyle w:val="FirstParagraph"/>
      </w:pPr>
      <w:r>
        <w:t xml:space="preserve">In the dynamic social care landscape of the United Kingdom, particularly within the densely populated metropolis of London, Social Workers form the frontline of vulnerable population support. This Research Proposal outlines a critical investigation into systemic challenges confronting Social Workers across London boroughs, where escalating demand for services meets constrained resources and complex client needs. With London's diverse demographic – encompassing 8.8 million residents representing over 300 nationalities – social care provision faces unprecedented pressure (London Councils, 2023). Current data indicates a 45% increase in Social Worker vacancies in London since 2019 (Department for Work and Pensions, 2023), directly correlating with rising burnout rates. This research addresses an urgent gap: understanding how structural, cultural, and operational factors uniquely impact Social Workers' effectiveness and sustainability within the United Kingdom's most complex urban environment. The proposed study will generate evidence-based solutions to strengthen the social care infrastructure specifically for London.</w:t>
      </w:r>
    </w:p>
    <w:bookmarkEnd w:id="20"/>
    <w:bookmarkStart w:id="21" w:name="literature-review-context"/>
    <w:p>
      <w:pPr>
        <w:pStyle w:val="Heading2"/>
      </w:pPr>
      <w:r>
        <w:t xml:space="preserve">2. Literature Review Context</w:t>
      </w:r>
    </w:p>
    <w:p>
      <w:pPr>
        <w:pStyle w:val="FirstParagraph"/>
      </w:pPr>
      <w:r>
        <w:t xml:space="preserve">Existing UK research (BASW, 2022; University of Manchester, 2021) identifies universal stressors in Social Work: high caseloads (averaging 40+ cases per worker), bureaucratic pressures, and emotional exhaustion. However, London-specific literature remains sparse. A seminal study by the London School of Economics (LSE, 2020) highlighted how borough-level funding disparities create "hotspots" of service collapse in areas like Tower Hamlets and Newham, disproportionately affecting frontline Social Workers. Crucially, cultural competence requirements in London's multicultural setting introduce additional layers of complexity absent in rural or less diverse UK regions. Recent reports by the Children's Society (2023) indicate 68% of London-based Social Workers report inadequate cultural safety training for working with migrant communities – a gap not adequately addressed in national frameworks. This proposal builds on these insights while prioritizing London's unique urban ecology as the central analytical lens, moving beyond generic UK models to contextualise solutions.</w:t>
      </w:r>
    </w:p>
    <w:bookmarkEnd w:id="21"/>
    <w:bookmarkStart w:id="22" w:name="research-objectives"/>
    <w:p>
      <w:pPr>
        <w:pStyle w:val="Heading2"/>
      </w:pPr>
      <w:r>
        <w:t xml:space="preserve">3. Research Objectives</w:t>
      </w:r>
    </w:p>
    <w:p>
      <w:pPr>
        <w:numPr>
          <w:ilvl w:val="0"/>
          <w:numId w:val="1001"/>
        </w:numPr>
        <w:pStyle w:val="Compact"/>
      </w:pPr>
      <w:r>
        <w:t xml:space="preserve">To map borough-specific variations in Social Worker well-being, stressors, and support systems across Greater London.</w:t>
      </w:r>
    </w:p>
    <w:p>
      <w:pPr>
        <w:numPr>
          <w:ilvl w:val="0"/>
          <w:numId w:val="1001"/>
        </w:numPr>
        <w:pStyle w:val="Compact"/>
      </w:pPr>
      <w:r>
        <w:t xml:space="preserve">To analyse the relationship between caseload management practices and service outcomes for vulnerable populations (children, elderly, disabled) within London's diverse communities.</w:t>
      </w:r>
    </w:p>
    <w:p>
      <w:pPr>
        <w:numPr>
          <w:ilvl w:val="0"/>
          <w:numId w:val="1001"/>
        </w:numPr>
        <w:pStyle w:val="Compact"/>
      </w:pPr>
      <w:r>
        <w:t xml:space="preserve">To identify culturally responsive interventions that enhance Social Worker efficacy while reducing attrition rates in the United Kingdom context.</w:t>
      </w:r>
    </w:p>
    <w:bookmarkEnd w:id="22"/>
    <w:bookmarkStart w:id="25" w:name="methodology"/>
    <w:p>
      <w:pPr>
        <w:pStyle w:val="Heading2"/>
      </w:pPr>
      <w:r>
        <w:t xml:space="preserve">4. Methodology</w:t>
      </w:r>
    </w:p>
    <w:p>
      <w:pPr>
        <w:pStyle w:val="FirstParagraph"/>
      </w:pPr>
      <w:r>
        <w:t xml:space="preserve">This study employs a mixed-methods sequential design over 18 months, specifically designed for London's municipal structure:</w:t>
      </w:r>
    </w:p>
    <w:bookmarkStart w:id="23" w:name="phase-1-quantitative-survey-months-1-4"/>
    <w:p>
      <w:pPr>
        <w:pStyle w:val="Heading3"/>
      </w:pPr>
      <w:r>
        <w:t xml:space="preserve">Phase 1: Quantitative Survey (Months 1-4)</w:t>
      </w:r>
    </w:p>
    <w:p>
      <w:pPr>
        <w:pStyle w:val="FirstParagraph"/>
      </w:pPr>
      <w:r>
        <w:t xml:space="preserve">A stratified random sample of 500 Social Workers will be recruited from all 32 London boroughs and the City of London, ensuring representation across:</w:t>
      </w:r>
    </w:p>
    <w:p>
      <w:pPr>
        <w:numPr>
          <w:ilvl w:val="0"/>
          <w:numId w:val="1002"/>
        </w:numPr>
        <w:pStyle w:val="Compact"/>
      </w:pPr>
      <w:r>
        <w:t xml:space="preserve">Service sectors (Children’s Services, Adult Social Care, Mental Health)</w:t>
      </w:r>
    </w:p>
    <w:p>
      <w:pPr>
        <w:numPr>
          <w:ilvl w:val="0"/>
          <w:numId w:val="1002"/>
        </w:numPr>
        <w:pStyle w:val="Compact"/>
      </w:pPr>
      <w:r>
        <w:t xml:space="preserve">Borough typology (Inner vs. Outer London, funding levels)</w:t>
      </w:r>
    </w:p>
    <w:p>
      <w:pPr>
        <w:numPr>
          <w:ilvl w:val="0"/>
          <w:numId w:val="1002"/>
        </w:numPr>
        <w:pStyle w:val="Compact"/>
      </w:pPr>
      <w:r>
        <w:t xml:space="preserve">Cultural competence experience</w:t>
      </w:r>
    </w:p>
    <w:p>
      <w:pPr>
        <w:pStyle w:val="FirstParagraph"/>
      </w:pPr>
      <w:r>
        <w:t xml:space="preserve">The survey will measure well-being (WHO-5 Scale), burnout (Maslach Burnout Inventory), caseload factors, and perceived institutional support – with contextual questions on London-specific challenges like housing crisis impacts and migration-related trauma.</w:t>
      </w:r>
    </w:p>
    <w:bookmarkEnd w:id="23"/>
    <w:bookmarkStart w:id="24" w:name="Xe9215c9fdf1389ba75fa44e06ea346a65258104"/>
    <w:p>
      <w:pPr>
        <w:pStyle w:val="Heading3"/>
      </w:pPr>
      <w:r>
        <w:t xml:space="preserve">Phase 2: Qualitative Case Studies (Months 5-14)</w:t>
      </w:r>
    </w:p>
    <w:p>
      <w:pPr>
        <w:pStyle w:val="FirstParagraph"/>
      </w:pPr>
      <w:r>
        <w:t xml:space="preserve">In-depth interviews (n=40) and focus groups (8 x 5 participants) will explore:</w:t>
      </w:r>
    </w:p>
    <w:p>
      <w:pPr>
        <w:numPr>
          <w:ilvl w:val="0"/>
          <w:numId w:val="1003"/>
        </w:numPr>
        <w:pStyle w:val="Compact"/>
      </w:pPr>
      <w:r>
        <w:t xml:space="preserve">Barriers to culturally safe practice in boroughs with high migrant populations</w:t>
      </w:r>
    </w:p>
    <w:p>
      <w:pPr>
        <w:numPr>
          <w:ilvl w:val="0"/>
          <w:numId w:val="1003"/>
        </w:numPr>
        <w:pStyle w:val="Compact"/>
      </w:pPr>
      <w:r>
        <w:t xml:space="preserve">Perceived effectiveness of London-based support mechanisms (e.g., borough-level supervision models)</w:t>
      </w:r>
    </w:p>
    <w:p>
      <w:pPr>
        <w:numPr>
          <w:ilvl w:val="0"/>
          <w:numId w:val="1003"/>
        </w:numPr>
        <w:pStyle w:val="Compact"/>
      </w:pPr>
      <w:r>
        <w:t xml:space="preserve">Policy suggestions for embedding resilience within the United Kingdom London social care ecosystem</w:t>
      </w:r>
    </w:p>
    <w:p>
      <w:pPr>
        <w:pStyle w:val="FirstParagraph"/>
      </w:pPr>
      <w:r>
        <w:t xml:space="preserve">Analysis will use thematic analysis via NVivo, with findings triangulated against London-specific service data from the Mayor’s Office for Policing and Crime (MOPAC) and Health and Wellbeing Boards.</w:t>
      </w:r>
    </w:p>
    <w:bookmarkEnd w:id="24"/>
    <w:bookmarkEnd w:id="25"/>
    <w:bookmarkStart w:id="26" w:name="expected-outcomes-significance"/>
    <w:p>
      <w:pPr>
        <w:pStyle w:val="Heading2"/>
      </w:pPr>
      <w:r>
        <w:t xml:space="preserve">5. Expected Outcomes &amp; Significance</w:t>
      </w:r>
    </w:p>
    <w:p>
      <w:pPr>
        <w:pStyle w:val="FirstParagraph"/>
      </w:pPr>
      <w:r>
        <w:t xml:space="preserve">This research will deliver actionable outcomes directly relevant to Social Workers operating in United Kingdom London:</w:t>
      </w:r>
    </w:p>
    <w:p>
      <w:pPr>
        <w:numPr>
          <w:ilvl w:val="0"/>
          <w:numId w:val="1004"/>
        </w:numPr>
        <w:pStyle w:val="Compact"/>
      </w:pPr>
      <w:r>
        <w:rPr>
          <w:bCs/>
          <w:b/>
        </w:rPr>
        <w:t xml:space="preserve">Borough-level intervention toolkit:</w:t>
      </w:r>
      <w:r>
        <w:t xml:space="preserve"> </w:t>
      </w:r>
      <w:r>
        <w:t xml:space="preserve">Customised resource guides for London authorities addressing local stressor patterns (e.g., housing-first models for Hackney, trauma-informed training protocols for Brent).</w:t>
      </w:r>
    </w:p>
    <w:p>
      <w:pPr>
        <w:numPr>
          <w:ilvl w:val="0"/>
          <w:numId w:val="1004"/>
        </w:numPr>
        <w:pStyle w:val="Compact"/>
      </w:pPr>
      <w:r>
        <w:rPr>
          <w:bCs/>
          <w:b/>
        </w:rPr>
        <w:t xml:space="preserve">Policy recommendations:</w:t>
      </w:r>
      <w:r>
        <w:t xml:space="preserve"> </w:t>
      </w:r>
      <w:r>
        <w:t xml:space="preserve">Evidence-based proposals to the Department of Health and Social Care on integrating London's urban complexities into national Social Work standards, potentially influencing future revisions of the Code of Ethics.</w:t>
      </w:r>
    </w:p>
    <w:p>
      <w:pPr>
        <w:numPr>
          <w:ilvl w:val="0"/>
          <w:numId w:val="1004"/>
        </w:numPr>
        <w:pStyle w:val="Compact"/>
      </w:pPr>
      <w:r>
        <w:rPr>
          <w:bCs/>
          <w:b/>
        </w:rPr>
        <w:t xml:space="preserve">Well-being framework:</w:t>
      </w:r>
      <w:r>
        <w:t xml:space="preserve"> </w:t>
      </w:r>
      <w:r>
        <w:t xml:space="preserve">A culturally responsive burnout prevention model incorporating London-specific resilience factors like community partnership networks (e.g., faith groups in Southwark, youth centres in Croydon).</w:t>
      </w:r>
    </w:p>
    <w:p>
      <w:pPr>
        <w:pStyle w:val="FirstParagraph"/>
      </w:pPr>
      <w:r>
        <w:t xml:space="preserve">The significance extends beyond London: as the UK's social care laboratory, solutions developed here will inform national policy. Crucially, this research positions Social Workers not merely as service providers but as critical urban infrastructure – their retention directly impacts London’s ability to uphold human rights standards in a city facing acute homelessness and inequality (UN-Habitat, 2023). The study aligns with the UK Government's "Social Care Green Paper" priorities, particularly its focus on "reducing workforce pressures" in metropolitan areas.</w:t>
      </w:r>
    </w:p>
    <w:bookmarkEnd w:id="26"/>
    <w:bookmarkStart w:id="27" w:name="Xbac98d10a1c182c50474da1b40fd4f4fd972cdc"/>
    <w:p>
      <w:pPr>
        <w:pStyle w:val="Heading2"/>
      </w:pPr>
      <w:r>
        <w:t xml:space="preserve">6. Ethical Considerations &amp; London Contextualisation</w:t>
      </w:r>
    </w:p>
    <w:p>
      <w:pPr>
        <w:pStyle w:val="FirstParagraph"/>
      </w:pPr>
      <w:r>
        <w:t xml:space="preserve">Given the emotional intensity of Social Work in London, ethics will be prioritised through:</w:t>
      </w:r>
    </w:p>
    <w:p>
      <w:pPr>
        <w:numPr>
          <w:ilvl w:val="0"/>
          <w:numId w:val="1005"/>
        </w:numPr>
        <w:pStyle w:val="Compact"/>
      </w:pPr>
      <w:r>
        <w:rPr>
          <w:iCs/>
          <w:i/>
        </w:rPr>
        <w:t xml:space="preserve">Borough-specific ethical approval:</w:t>
      </w:r>
      <w:r>
        <w:t xml:space="preserve"> </w:t>
      </w:r>
      <w:r>
        <w:t xml:space="preserve">All procedures approved by University College London's Research Ethics Committee and borough-level social care leads.</w:t>
      </w:r>
    </w:p>
    <w:p>
      <w:pPr>
        <w:numPr>
          <w:ilvl w:val="0"/>
          <w:numId w:val="1005"/>
        </w:numPr>
        <w:pStyle w:val="Compact"/>
      </w:pPr>
      <w:r>
        <w:rPr>
          <w:iCs/>
          <w:i/>
        </w:rPr>
        <w:t xml:space="preserve">Cultural safety protocols:</w:t>
      </w:r>
      <w:r>
        <w:t xml:space="preserve"> </w:t>
      </w:r>
      <w:r>
        <w:t xml:space="preserve">Interviews conducted in preferred languages using trained community interpreters for non-English speakers, respecting London’s linguistic diversity (30% of residents speak a language other than English at home).</w:t>
      </w:r>
    </w:p>
    <w:p>
      <w:pPr>
        <w:numPr>
          <w:ilvl w:val="0"/>
          <w:numId w:val="1005"/>
        </w:numPr>
        <w:pStyle w:val="Compact"/>
      </w:pPr>
      <w:r>
        <w:rPr>
          <w:iCs/>
          <w:i/>
        </w:rPr>
        <w:t xml:space="preserve">Data anonymisation:</w:t>
      </w:r>
      <w:r>
        <w:t xml:space="preserve"> </w:t>
      </w:r>
      <w:r>
        <w:t xml:space="preserve">All identifying information stripped before analysis to protect Social Workers' professional integrity amid high-stakes local government environments.</w:t>
      </w:r>
    </w:p>
    <w:p>
      <w:pPr>
        <w:pStyle w:val="FirstParagraph"/>
      </w:pPr>
      <w:r>
        <w:t xml:space="preserve">This contextual ethics framework ensures findings authentically represent London’s multicultural reality – a necessity often overlooked in UK-wide studies.</w:t>
      </w:r>
    </w:p>
    <w:bookmarkEnd w:id="27"/>
    <w:bookmarkStart w:id="28" w:name="timeline-resource-plan"/>
    <w:p>
      <w:pPr>
        <w:pStyle w:val="Heading2"/>
      </w:pPr>
      <w:r>
        <w:t xml:space="preserve">7. Timeline &amp; Resource Plan</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 (London-specific)</w:t>
      </w:r>
    </w:p>
    <w:p>
      <w:pPr>
        <w:pStyle w:val="BodyText"/>
      </w:pPr>
      <w:r>
        <w:t xml:space="preserve">Month 1-2</w:t>
      </w:r>
    </w:p>
    <w:p>
      <w:pPr>
        <w:pStyle w:val="BodyText"/>
      </w:pPr>
      <w:r>
        <w:t xml:space="preserve">Cultural competence survey draft validated by London Social Work Association (LSWA)</w:t>
      </w:r>
    </w:p>
    <w:p>
      <w:pPr>
        <w:pStyle w:val="BodyText"/>
      </w:pPr>
      <w:r>
        <w:t xml:space="preserve">Data Collection: Online Survey</w:t>
      </w:r>
    </w:p>
    <w:p>
      <w:pPr>
        <w:pStyle w:val="BodyText"/>
      </w:pPr>
      <w:r>
        <w:t xml:space="preserve">Month 3-4</w:t>
      </w:r>
    </w:p>
    <w:p>
      <w:pPr>
        <w:pStyle w:val="BodyText"/>
      </w:pPr>
      <w:r>
        <w:t xml:space="preserve">Survey response rate &gt;60% from targeted boroughs</w:t>
      </w:r>
    </w:p>
    <w:p>
      <w:pPr>
        <w:pStyle w:val="BodyText"/>
      </w:pPr>
      <w:r>
        <w:t xml:space="preserve">Data Collection: Qualitative Case Studies</w:t>
      </w:r>
    </w:p>
    <w:p>
      <w:pPr>
        <w:pStyle w:val="BodyText"/>
      </w:pPr>
      <w:r>
        <w:t xml:space="preserve">Month 5-14</w:t>
      </w:r>
    </w:p>
    <w:p>
      <w:pPr>
        <w:pStyle w:val="BodyText"/>
      </w:pPr>
      <w:r>
        <w:t xml:space="preserve">Transcribed interviews; borough-specific thematic reports</w:t>
      </w:r>
    </w:p>
    <w:p>
      <w:pPr>
        <w:pStyle w:val="BodyText"/>
      </w:pPr>
      <w:r>
        <w:t xml:space="preserve">Data Synthesis &amp; Policy Drafting</w:t>
      </w:r>
    </w:p>
    <w:p>
      <w:pPr>
        <w:pStyle w:val="BodyText"/>
      </w:pPr>
      <w:r>
        <w:t xml:space="preserve">Month 15-17</w:t>
      </w:r>
    </w:p>
    <w:p>
      <w:pPr>
        <w:pStyle w:val="BodyText"/>
      </w:pPr>
      <w:r>
        <w:t xml:space="preserve">Borough-level intervention toolkit; Government policy briefs</w:t>
      </w:r>
    </w:p>
    <w:p>
      <w:pPr>
        <w:pStyle w:val="BodyText"/>
      </w:pPr>
      <w:r>
        <w:t xml:space="preserve">Dissemination &amp; Implementation Planning</w:t>
      </w:r>
    </w:p>
    <w:p>
      <w:pPr>
        <w:pStyle w:val="BodyText"/>
      </w:pPr>
      <w:r>
        <w:t xml:space="preserve">Month 18</w:t>
      </w:r>
    </w:p>
    <w:p>
      <w:pPr>
        <w:pStyle w:val="BodyText"/>
      </w:pPr>
      <w:r>
        <w:t xml:space="preserve">Presentation to London Assembly Health Committee; LSWA workshop series across boroughs</w:t>
      </w:r>
    </w:p>
    <w:bookmarkEnd w:id="28"/>
    <w:bookmarkStart w:id="29" w:name="conclusion"/>
    <w:p>
      <w:pPr>
        <w:pStyle w:val="Heading2"/>
      </w:pPr>
      <w:r>
        <w:t xml:space="preserve">8. Conclusion</w:t>
      </w:r>
    </w:p>
    <w:p>
      <w:pPr>
        <w:pStyle w:val="FirstParagraph"/>
      </w:pPr>
      <w:r>
        <w:t xml:space="preserve">This Research Proposal responds urgently to the escalating crisis in Social Worker retention and effectiveness within the United Kingdom London context. By centreing London’s unique urban challenges – its demographic diversity, housing emergency, and fragmented borough governance – this study will generate precisely targeted solutions that transcend generic UK social care models. The findings will empower Social Workers across all 32 London boroughs to deliver more sustainable, culturally attuned support to the city’s most vulnerable residents. In an era where London’s social care system is a national benchmark (and stress test), this research moves beyond documenting problems toward co-creating practical pathways for resilience, ensuring that Social Workers remain the vital human backbone of United Kingdom's largest city.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Well-being and Practice in United Kingdom London Context</dc:title>
  <dc:creator/>
  <dc:language>en</dc:language>
  <cp:keywords/>
  <dcterms:created xsi:type="dcterms:W3CDTF">2026-06-03T06:31:39Z</dcterms:created>
  <dcterms:modified xsi:type="dcterms:W3CDTF">2026-06-03T06:31:39Z</dcterms:modified>
</cp:coreProperties>
</file>

<file path=docProps/custom.xml><?xml version="1.0" encoding="utf-8"?>
<Properties xmlns="http://schemas.openxmlformats.org/officeDocument/2006/custom-properties" xmlns:vt="http://schemas.openxmlformats.org/officeDocument/2006/docPropsVTypes"/>
</file>