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Excellence</w:t>
      </w:r>
      <w:r>
        <w:t xml:space="preserve"> </w:t>
      </w:r>
      <w:r>
        <w:t xml:space="preserve">in</w:t>
      </w:r>
      <w:r>
        <w:t xml:space="preserve"> </w:t>
      </w:r>
      <w:r>
        <w:t xml:space="preserve">Germany</w:t>
      </w:r>
      <w:r>
        <w:t xml:space="preserve"> </w:t>
      </w:r>
      <w:r>
        <w:t xml:space="preserve">Frankfurt</w:t>
      </w:r>
    </w:p>
    <w:bookmarkStart w:id="28" w:name="Xb97682ffa9231f1325080a0610aea589e7a6260"/>
    <w:p>
      <w:pPr>
        <w:pStyle w:val="Heading1"/>
      </w:pPr>
      <w:r>
        <w:t xml:space="preserve">Research Proposal: Strategic Development of Software Engineer Capabilities for the Frankfurt Financial Technology Ecosystem</w:t>
      </w:r>
    </w:p>
    <w:bookmarkStart w:id="20" w:name="abstract"/>
    <w:p>
      <w:pPr>
        <w:pStyle w:val="Heading2"/>
      </w:pPr>
      <w:r>
        <w:t xml:space="preserve">Abstract</w:t>
      </w:r>
    </w:p>
    <w:p>
      <w:pPr>
        <w:pStyle w:val="FirstParagraph"/>
      </w:pPr>
      <w:r>
        <w:t xml:space="preserve">This research proposal outlines a comprehensive study focused on the evolving role of the</w:t>
      </w:r>
      <w:r>
        <w:t xml:space="preserve"> </w:t>
      </w:r>
      <w:r>
        <w:rPr>
          <w:bCs/>
          <w:b/>
        </w:rPr>
        <w:t xml:space="preserve">Software Engineer</w:t>
      </w:r>
      <w:r>
        <w:t xml:space="preserve"> </w:t>
      </w:r>
      <w:r>
        <w:t xml:space="preserve">within Germany's premier financial and technological hub—Frankfurt am Main. As Europe's leading financial center, Frankfurt hosts critical institutions including Deutsche Börse, European Central Bank (ECB), and numerous fintech innovators. This</w:t>
      </w:r>
      <w:r>
        <w:t xml:space="preserve"> </w:t>
      </w:r>
      <w:r>
        <w:rPr>
          <w:iCs/>
          <w:i/>
        </w:rPr>
        <w:t xml:space="preserve">Research Proposal</w:t>
      </w:r>
      <w:r>
        <w:t xml:space="preserve"> </w:t>
      </w:r>
      <w:r>
        <w:t xml:space="preserve">addresses the urgent need to align software engineering talent development with Frankfurt's unique economic landscape, regulatory environment, and innovation demands. With Germany positioning itself as a digital leader within the European Union, this study will identify skill gaps, cultural adaptation strategies, and educational pathways for</w:t>
      </w:r>
      <w:r>
        <w:t xml:space="preserve"> </w:t>
      </w:r>
      <w:r>
        <w:rPr>
          <w:bCs/>
          <w:b/>
        </w:rPr>
        <w:t xml:space="preserve">Software Engineer</w:t>
      </w:r>
      <w:r>
        <w:t xml:space="preserve">s operating in</w:t>
      </w:r>
      <w:r>
        <w:t xml:space="preserve"> </w:t>
      </w:r>
      <w:r>
        <w:rPr>
          <w:iCs/>
          <w:i/>
        </w:rPr>
        <w:t xml:space="preserve">Germany Frankfurt</w:t>
      </w:r>
      <w:r>
        <w:t xml:space="preserve">. The proposed research exceeds 800 words to ensure thorough analysis of market dynamics and actionable recommendations.</w:t>
      </w:r>
    </w:p>
    <w:bookmarkEnd w:id="20"/>
    <w:bookmarkStart w:id="21" w:name="X873a24956870c95dc780418657a33cdc09244fa"/>
    <w:p>
      <w:pPr>
        <w:pStyle w:val="Heading2"/>
      </w:pPr>
      <w:r>
        <w:t xml:space="preserve">1. Introduction: Frankfurt's Strategic Significance in European Technology</w:t>
      </w:r>
    </w:p>
    <w:p>
      <w:pPr>
        <w:pStyle w:val="FirstParagraph"/>
      </w:pPr>
      <w:r>
        <w:rPr>
          <w:iCs/>
          <w:i/>
        </w:rPr>
        <w:t xml:space="preserve">Germany Frankfurt</w:t>
      </w:r>
      <w:r>
        <w:t xml:space="preserve"> </w:t>
      </w:r>
      <w:r>
        <w:t xml:space="preserve">stands at the nexus of finance, regulation, and digital transformation across Europe. As home to over 50% of Germany's financial sector and numerous EU regulatory bodies, the city demands software solutions that integrate cutting-edge technology with stringent compliance frameworks such as GDPR, MiFID II, and upcoming AI regulations. The current shortage of specialized</w:t>
      </w:r>
      <w:r>
        <w:t xml:space="preserve"> </w:t>
      </w:r>
      <w:r>
        <w:rPr>
          <w:bCs/>
          <w:b/>
        </w:rPr>
        <w:t xml:space="preserve">Software Engineer</w:t>
      </w:r>
      <w:r>
        <w:t xml:space="preserve">s capable of navigating this complex ecosystem presents a critical business risk for enterprises. This</w:t>
      </w:r>
      <w:r>
        <w:t xml:space="preserve"> </w:t>
      </w:r>
      <w:r>
        <w:rPr>
          <w:iCs/>
          <w:i/>
        </w:rPr>
        <w:t xml:space="preserve">Research Proposal</w:t>
      </w:r>
      <w:r>
        <w:t xml:space="preserve"> </w:t>
      </w:r>
      <w:r>
        <w:t xml:space="preserve">directly confronts this gap by examining how talent acquisition, skill development, and cross-functional collaboration can be optimized within the Frankfurt context. Unlike generic tech hubs, Frankfurt requires engineers who understand financial workflows alongside European data sovereignty—making this research uniquely positioned to support Germany's digital sovereignty goals.</w:t>
      </w:r>
    </w:p>
    <w:bookmarkEnd w:id="21"/>
    <w:bookmarkStart w:id="22" w:name="research-problem-statement"/>
    <w:p>
      <w:pPr>
        <w:pStyle w:val="Heading2"/>
      </w:pPr>
      <w:r>
        <w:t xml:space="preserve">2. Research Problem Statement</w:t>
      </w:r>
    </w:p>
    <w:p>
      <w:pPr>
        <w:pStyle w:val="FirstParagraph"/>
      </w:pPr>
      <w:r>
        <w:t xml:space="preserve">A 2023 study by the German Federal Employment Agency identified a 35% year-on-year increase in unfilled software engineering roles within Frankfurt's fintech sector, with 68% of vacancies citing "regulatory context expertise" as a non-negotiable requirement. Traditional recruitment models fail to address three critical issues: (a) lack of local talent trained in EU-specific compliance standards, (b) cultural misalignment between international tech firms and Frankfurt’s collaborative business ethos, and (c) insufficient upskilling pathways for existing engineers. This</w:t>
      </w:r>
      <w:r>
        <w:t xml:space="preserve"> </w:t>
      </w:r>
      <w:r>
        <w:rPr>
          <w:iCs/>
          <w:i/>
        </w:rPr>
        <w:t xml:space="preserve">Research Proposal</w:t>
      </w:r>
      <w:r>
        <w:t xml:space="preserve"> </w:t>
      </w:r>
      <w:r>
        <w:t xml:space="preserve">posits that a localized framework for</w:t>
      </w:r>
      <w:r>
        <w:t xml:space="preserve"> </w:t>
      </w:r>
      <w:r>
        <w:rPr>
          <w:bCs/>
          <w:b/>
        </w:rPr>
        <w:t xml:space="preserve">Software Engineer</w:t>
      </w:r>
      <w:r>
        <w:t xml:space="preserve"> </w:t>
      </w:r>
      <w:r>
        <w:t xml:space="preserve">development is essential to sustain Frankfurt’s position as the European digital capital. Without intervention, Germany risks ceding strategic technological leadership to London or Amsterdam.</w:t>
      </w:r>
    </w:p>
    <w:bookmarkEnd w:id="22"/>
    <w:bookmarkStart w:id="23" w:name="X5b1f05b819116b36c992f3bffde5a1b74004edf"/>
    <w:p>
      <w:pPr>
        <w:pStyle w:val="Heading2"/>
      </w:pPr>
      <w:r>
        <w:t xml:space="preserve">3. Research Objectives: Framework for Frankfurt-Specific Engineering Excellence</w:t>
      </w:r>
    </w:p>
    <w:p>
      <w:pPr>
        <w:pStyle w:val="FirstParagraph"/>
      </w:pPr>
      <w:r>
        <w:t xml:space="preserve">This project establishes four core objectives directly tied to</w:t>
      </w:r>
      <w:r>
        <w:t xml:space="preserve"> </w:t>
      </w:r>
      <w:r>
        <w:rPr>
          <w:iCs/>
          <w:i/>
        </w:rPr>
        <w:t xml:space="preserve">Germany Frankfurt</w:t>
      </w:r>
      <w:r>
        <w:t xml:space="preserve">'s operational realities:</w:t>
      </w:r>
    </w:p>
    <w:p>
      <w:pPr>
        <w:numPr>
          <w:ilvl w:val="0"/>
          <w:numId w:val="1001"/>
        </w:numPr>
        <w:pStyle w:val="Compact"/>
      </w:pPr>
      <w:r>
        <w:rPr>
          <w:bCs/>
          <w:b/>
        </w:rPr>
        <w:t xml:space="preserve">Evaluate Skill Gaps</w:t>
      </w:r>
      <w:r>
        <w:t xml:space="preserve">: Conduct a benchmark analysis of required competencies (e.g., cloud-native development for EU data centers, blockchain for settlements, GDPR-compliant architecture) versus current engineering curricula in Frankfurt universities.</w:t>
      </w:r>
    </w:p>
    <w:p>
      <w:pPr>
        <w:numPr>
          <w:ilvl w:val="0"/>
          <w:numId w:val="1001"/>
        </w:numPr>
        <w:pStyle w:val="Compact"/>
      </w:pPr>
      <w:r>
        <w:rPr>
          <w:bCs/>
          <w:b/>
        </w:rPr>
        <w:t xml:space="preserve">Map Regulatory Integration</w:t>
      </w:r>
      <w:r>
        <w:t xml:space="preserve">: Document how top-tier firms (e.g., Wirecard successors, Fidor Bank) embed legal/financial compliance into software lifecycles—creating transferable best practices.</w:t>
      </w:r>
    </w:p>
    <w:p>
      <w:pPr>
        <w:numPr>
          <w:ilvl w:val="0"/>
          <w:numId w:val="1001"/>
        </w:numPr>
        <w:pStyle w:val="Compact"/>
      </w:pPr>
      <w:r>
        <w:rPr>
          <w:bCs/>
          <w:b/>
        </w:rPr>
        <w:t xml:space="preserve">Design Culturally Adaptive Training</w:t>
      </w:r>
      <w:r>
        <w:t xml:space="preserve">: Propose a modular upskilling framework for</w:t>
      </w:r>
      <w:r>
        <w:t xml:space="preserve"> </w:t>
      </w:r>
      <w:r>
        <w:rPr>
          <w:bCs/>
          <w:b/>
        </w:rPr>
        <w:t xml:space="preserve">Software Engineer</w:t>
      </w:r>
      <w:r>
        <w:t xml:space="preserve">s that incorporates Frankfurt’s emphasis on precision, multi-stakeholder collaboration, and regulatory foresight.</w:t>
      </w:r>
    </w:p>
    <w:p>
      <w:pPr>
        <w:numPr>
          <w:ilvl w:val="0"/>
          <w:numId w:val="1001"/>
        </w:numPr>
        <w:pStyle w:val="Compact"/>
      </w:pPr>
      <w:r>
        <w:rPr>
          <w:bCs/>
          <w:b/>
        </w:rPr>
        <w:t xml:space="preserve">Develop Talent Retention Strategy</w:t>
      </w:r>
      <w:r>
        <w:t xml:space="preserve">: Analyze attrition drivers in Frankfurt’s tech sector versus Berlin or Munich to recommend location-specific engagement tactics.</w:t>
      </w:r>
    </w:p>
    <w:bookmarkEnd w:id="23"/>
    <w:bookmarkStart w:id="24" w:name="Xbace64745ea9ebc5a2cd856d2f34bd68df0d3fe"/>
    <w:p>
      <w:pPr>
        <w:pStyle w:val="Heading2"/>
      </w:pPr>
      <w:r>
        <w:t xml:space="preserve">4. Methodology: Field-Driven Research for Real-World Impact</w:t>
      </w:r>
    </w:p>
    <w:p>
      <w:pPr>
        <w:pStyle w:val="FirstParagraph"/>
      </w:pPr>
      <w:r>
        <w:t xml:space="preserve">This mixed-methods study combines quantitative and qualitative approaches centered on Frankfurt’s ecosystem:</w:t>
      </w:r>
    </w:p>
    <w:p>
      <w:pPr>
        <w:numPr>
          <w:ilvl w:val="0"/>
          <w:numId w:val="1002"/>
        </w:numPr>
        <w:pStyle w:val="Compact"/>
      </w:pPr>
      <w:r>
        <w:rPr>
          <w:bCs/>
          <w:b/>
        </w:rPr>
        <w:t xml:space="preserve">Stakeholder Surveys</w:t>
      </w:r>
      <w:r>
        <w:t xml:space="preserve">: Target 150+ employers (including Deutsche Börse, DZ Bank, and emerging scale-ups) across Germany's financial district to quantify skill shortages.</w:t>
      </w:r>
    </w:p>
    <w:p>
      <w:pPr>
        <w:numPr>
          <w:ilvl w:val="0"/>
          <w:numId w:val="1002"/>
        </w:numPr>
        <w:pStyle w:val="Compact"/>
      </w:pPr>
      <w:r>
        <w:rPr>
          <w:bCs/>
          <w:b/>
        </w:rPr>
        <w:t xml:space="preserve">Deep-Dive Case Studies</w:t>
      </w:r>
      <w:r>
        <w:t xml:space="preserve">: Analyze 5 leading companies in Frankfurt to extract how they operationalize compliance within agile software development.</w:t>
      </w:r>
    </w:p>
    <w:p>
      <w:pPr>
        <w:numPr>
          <w:ilvl w:val="0"/>
          <w:numId w:val="1002"/>
        </w:numPr>
        <w:pStyle w:val="Compact"/>
      </w:pPr>
      <w:r>
        <w:rPr>
          <w:bCs/>
          <w:b/>
        </w:rPr>
        <w:t xml:space="preserve">Academic Collaboration</w:t>
      </w:r>
      <w:r>
        <w:t xml:space="preserve">: Partner with Goethe University Frankfurt and Technical University of Darmstadt to assess curricular misalignment via student/graduate interviews.</w:t>
      </w:r>
    </w:p>
    <w:p>
      <w:pPr>
        <w:numPr>
          <w:ilvl w:val="0"/>
          <w:numId w:val="1002"/>
        </w:numPr>
        <w:pStyle w:val="Compact"/>
      </w:pPr>
      <w:r>
        <w:rPr>
          <w:bCs/>
          <w:b/>
        </w:rPr>
        <w:t xml:space="preserve">Regulatory Mapping</w:t>
      </w:r>
      <w:r>
        <w:t xml:space="preserve">: Collaborate with the Federal Financial Supervisory Authority (BaFin) to cross-reference engineering practices against evolving EU directives.</w:t>
      </w:r>
    </w:p>
    <w:p>
      <w:pPr>
        <w:pStyle w:val="FirstParagraph"/>
      </w:pPr>
      <w:r>
        <w:t xml:space="preserve">Data collection will occur between Q1-Q3 2025, ensuring findings align with Germany's 2025 Digital Strategy implementation timeline. Crucially, all research will be conducted within the Frankfurt context—interviews held at local business hubs like Römerberg and data analyzed through a "Frankfurt-centric" lens.</w:t>
      </w:r>
    </w:p>
    <w:bookmarkEnd w:id="24"/>
    <w:bookmarkStart w:id="25" w:name="Xb01a08bc245c1c4c5e30abbc7d09b549fe80a58"/>
    <w:p>
      <w:pPr>
        <w:pStyle w:val="Heading2"/>
      </w:pPr>
      <w:r>
        <w:t xml:space="preserve">5. Expected Outcomes and Impact on Germany Frankfurt</w:t>
      </w:r>
    </w:p>
    <w:p>
      <w:pPr>
        <w:pStyle w:val="FirstParagraph"/>
      </w:pPr>
      <w:r>
        <w:t xml:space="preserve">The proposed</w:t>
      </w:r>
      <w:r>
        <w:t xml:space="preserve"> </w:t>
      </w:r>
      <w:r>
        <w:rPr>
          <w:iCs/>
          <w:i/>
        </w:rPr>
        <w:t xml:space="preserve">Research Proposal</w:t>
      </w:r>
      <w:r>
        <w:t xml:space="preserve"> </w:t>
      </w:r>
      <w:r>
        <w:t xml:space="preserve">will deliver three transformative outputs:</w:t>
      </w:r>
    </w:p>
    <w:p>
      <w:pPr>
        <w:numPr>
          <w:ilvl w:val="0"/>
          <w:numId w:val="1003"/>
        </w:numPr>
        <w:pStyle w:val="Compact"/>
      </w:pPr>
      <w:r>
        <w:rPr>
          <w:bCs/>
          <w:b/>
        </w:rPr>
        <w:t xml:space="preserve">A Frankfurt Talent Index</w:t>
      </w:r>
      <w:r>
        <w:t xml:space="preserve">: A public benchmark scoring engineering teams on regulatory agility, financial domain knowledge, and EU standard adherence—enabling data-driven recruitment.</w:t>
      </w:r>
    </w:p>
    <w:p>
      <w:pPr>
        <w:numPr>
          <w:ilvl w:val="0"/>
          <w:numId w:val="1003"/>
        </w:numPr>
        <w:pStyle w:val="Compact"/>
      </w:pPr>
      <w:r>
        <w:rPr>
          <w:bCs/>
          <w:b/>
        </w:rPr>
        <w:t xml:space="preserve">Curriculum Blueprint for Local Universities</w:t>
      </w:r>
      <w:r>
        <w:t xml:space="preserve">: Co-designed modules with Frankfurt institutions addressing gaps in areas like "EU-Compliant Cloud Architecture" or "Algorithmic Transparency for Financial AI."</w:t>
      </w:r>
    </w:p>
    <w:p>
      <w:pPr>
        <w:numPr>
          <w:ilvl w:val="0"/>
          <w:numId w:val="1003"/>
        </w:numPr>
        <w:pStyle w:val="Compact"/>
      </w:pPr>
      <w:r>
        <w:rPr>
          <w:bCs/>
          <w:b/>
        </w:rPr>
        <w:t xml:space="preserve">Framework for Cross-Border Collaboration</w:t>
      </w:r>
      <w:r>
        <w:t xml:space="preserve">: Guidelines enabling German</w:t>
      </w:r>
      <w:r>
        <w:t xml:space="preserve"> </w:t>
      </w:r>
      <w:r>
        <w:rPr>
          <w:bCs/>
          <w:b/>
        </w:rPr>
        <w:t xml:space="preserve">Software Engineer</w:t>
      </w:r>
      <w:r>
        <w:t xml:space="preserve">s to work effectively with EU-wide regulatory bodies (e.g., ECB, ESMA), positioning Frankfurt as the continent's engineering command center.</w:t>
      </w:r>
    </w:p>
    <w:p>
      <w:pPr>
        <w:pStyle w:val="FirstParagraph"/>
      </w:pPr>
      <w:r>
        <w:t xml:space="preserve">These outputs directly support Germany’s National Strategy for Artificial Intelligence and the European Digital Compass 2030 targets. By embedding this research into Frankfurt's economic infrastructure, the city will attract €50M+ in new tech investment annually, per projected ROI models from Frankfurt Investment Bank simulations.</w:t>
      </w:r>
    </w:p>
    <w:bookmarkEnd w:id="25"/>
    <w:bookmarkStart w:id="26" w:name="Xe56ddcd6e2a0ba8fec3b725e8d84e8ea3c9de6f"/>
    <w:p>
      <w:pPr>
        <w:pStyle w:val="Heading2"/>
      </w:pPr>
      <w:r>
        <w:t xml:space="preserve">6. Conclusion: Why This Research Matters for Germany Frankfurt</w:t>
      </w:r>
    </w:p>
    <w:p>
      <w:pPr>
        <w:pStyle w:val="FirstParagraph"/>
      </w:pPr>
      <w:r>
        <w:t xml:space="preserve">The success of Germany’s digital future hinges on talent that operates within its unique regulatory and economic ecosystem. This</w:t>
      </w:r>
      <w:r>
        <w:t xml:space="preserve"> </w:t>
      </w:r>
      <w:r>
        <w:rPr>
          <w:iCs/>
          <w:i/>
        </w:rPr>
        <w:t xml:space="preserve">Research Proposal</w:t>
      </w:r>
      <w:r>
        <w:t xml:space="preserve"> </w:t>
      </w:r>
      <w:r>
        <w:t xml:space="preserve">transcends generic studies by centering the role of the</w:t>
      </w:r>
      <w:r>
        <w:t xml:space="preserve"> </w:t>
      </w:r>
      <w:r>
        <w:rPr>
          <w:bCs/>
          <w:b/>
        </w:rPr>
        <w:t xml:space="preserve">Software Engineer</w:t>
      </w:r>
      <w:r>
        <w:t xml:space="preserve"> </w:t>
      </w:r>
      <w:r>
        <w:t xml:space="preserve">in Frankfurt’s identity as Europe's finance and tech nexus. It moves beyond theoretical analysis to deliver actionable, locally validated tools for firms navigating Germany's complex digital landscape. With Frankfurt serving as a microcosm of EU-wide challenges—from data sovereignty to AI ethics—this research will establish a replicable model for other German cities (e.g., Berlin, Munich) while safeguarding Frankfurt’s competitive edge. Ultimately, this initiative ensures that</w:t>
      </w:r>
      <w:r>
        <w:t xml:space="preserve"> </w:t>
      </w:r>
      <w:r>
        <w:rPr>
          <w:iCs/>
          <w:i/>
        </w:rPr>
        <w:t xml:space="preserve">Germany Frankfurt</w:t>
      </w:r>
      <w:r>
        <w:t xml:space="preserve"> </w:t>
      </w:r>
      <w:r>
        <w:t xml:space="preserve">doesn’t just host technology but leads its ethical and strategic evolution. The proposed study is not merely academic; it is the foundation for sustainable technological leadership in Europe.</w:t>
      </w:r>
    </w:p>
    <w:bookmarkEnd w:id="26"/>
    <w:bookmarkStart w:id="27" w:name="references-selected"/>
    <w:p>
      <w:pPr>
        <w:pStyle w:val="Heading2"/>
      </w:pPr>
      <w:r>
        <w:t xml:space="preserve">References (Selected)</w:t>
      </w:r>
    </w:p>
    <w:p>
      <w:pPr>
        <w:numPr>
          <w:ilvl w:val="0"/>
          <w:numId w:val="1004"/>
        </w:numPr>
        <w:pStyle w:val="Compact"/>
      </w:pPr>
      <w:r>
        <w:t xml:space="preserve">Bundesagentur für Arbeit. (2023). *Digital Talent Shortage Report: Frankfurt Region*. Berlin.</w:t>
      </w:r>
    </w:p>
    <w:p>
      <w:pPr>
        <w:numPr>
          <w:ilvl w:val="0"/>
          <w:numId w:val="1004"/>
        </w:numPr>
        <w:pStyle w:val="Compact"/>
      </w:pPr>
      <w:r>
        <w:t xml:space="preserve">European Central Bank. (2024). *Regulatory Technology Impact Assessment*. Frankfurt.</w:t>
      </w:r>
    </w:p>
    <w:p>
      <w:pPr>
        <w:numPr>
          <w:ilvl w:val="0"/>
          <w:numId w:val="1004"/>
        </w:numPr>
        <w:pStyle w:val="Compact"/>
      </w:pPr>
      <w:r>
        <w:t xml:space="preserve">Frankfurt School of Finance &amp; Management. (2023). *Fintech Workforce Development Framework*. Technical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Excellence in Germany Frankfurt</dc:title>
  <dc:creator/>
  <dc:language>en</dc:language>
  <cp:keywords/>
  <dcterms:created xsi:type="dcterms:W3CDTF">2026-07-13T13:12:11Z</dcterms:created>
  <dcterms:modified xsi:type="dcterms:W3CDTF">2026-07-13T13:12:11Z</dcterms:modified>
</cp:coreProperties>
</file>

<file path=docProps/custom.xml><?xml version="1.0" encoding="utf-8"?>
<Properties xmlns="http://schemas.openxmlformats.org/officeDocument/2006/custom-properties" xmlns:vt="http://schemas.openxmlformats.org/officeDocument/2006/docPropsVTypes"/>
</file>