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77d7e9ba8cf917a784a460db688c4c87e982fc8"/>
    <w:p>
      <w:pPr>
        <w:pStyle w:val="Heading1"/>
      </w:pPr>
      <w:r>
        <w:t xml:space="preserve">Research Proposal: Advancing Software Engineering Excellence for Sustainable Development in Kuwait City</w:t>
      </w:r>
    </w:p>
    <w:bookmarkStart w:id="20" w:name="introduction"/>
    <w:p>
      <w:pPr>
        <w:pStyle w:val="Heading2"/>
      </w:pPr>
      <w:r>
        <w:t xml:space="preserve">Introduction</w:t>
      </w:r>
    </w:p>
    <w:p>
      <w:pPr>
        <w:pStyle w:val="FirstParagraph"/>
      </w:pPr>
      <w:r>
        <w:t xml:space="preserve">The rapid digital transformation across the Middle East has positioned</w:t>
      </w:r>
      <w:r>
        <w:t xml:space="preserve"> </w:t>
      </w:r>
      <w:r>
        <w:rPr>
          <w:bCs/>
          <w:b/>
        </w:rPr>
        <w:t xml:space="preserve">Kuwait Kuwait City</w:t>
      </w:r>
      <w:r>
        <w:t xml:space="preserve"> </w:t>
      </w:r>
      <w:r>
        <w:t xml:space="preserve">as a critical hub for technological innovation in the Gulf region. As the capital city drives national Vision 2035 goals, there is an unprecedented demand for skilled</w:t>
      </w:r>
      <w:r>
        <w:t xml:space="preserve"> </w:t>
      </w:r>
      <w:r>
        <w:rPr>
          <w:bCs/>
          <w:b/>
        </w:rPr>
        <w:t xml:space="preserve">Software Engineer</w:t>
      </w:r>
      <w:r>
        <w:t xml:space="preserve">s capable of developing robust, scalable digital infrastructure. This</w:t>
      </w:r>
      <w:r>
        <w:t xml:space="preserve"> </w:t>
      </w:r>
      <w:r>
        <w:rPr>
          <w:bCs/>
          <w:b/>
        </w:rPr>
        <w:t xml:space="preserve">Research Proposal</w:t>
      </w:r>
      <w:r>
        <w:t xml:space="preserve"> </w:t>
      </w:r>
      <w:r>
        <w:t xml:space="preserve">addresses the urgent need to establish a localized framework for software engineering excellence tailored to Kuwait's unique socio-economic landscape. With Kuwait City serving as the epicenter of governmental digital initiatives, private sector innovation, and academic research, this study will define best practices that empower local talent while aligning with global standards.</w:t>
      </w:r>
    </w:p>
    <w:bookmarkEnd w:id="20"/>
    <w:bookmarkStart w:id="21" w:name="problem-statement"/>
    <w:p>
      <w:pPr>
        <w:pStyle w:val="Heading2"/>
      </w:pPr>
      <w:r>
        <w:t xml:space="preserve">Problem Statement</w:t>
      </w:r>
    </w:p>
    <w:p>
      <w:pPr>
        <w:pStyle w:val="FirstParagraph"/>
      </w:pPr>
      <w:r>
        <w:t xml:space="preserve">Kuwait City currently faces a critical skills gap in software engineering. Despite significant investments in digital infrastructure—such as the National e-Government Platform and Smart City initiatives—the sector struggles with high turnover, inadequate technical training pipelines, and a reliance on foreign talent. Local universities graduate fewer than 300 qualified software engineers annually, while over 15,000 vacancies remain unfilled in Kuwait's tech sector (Kuwait Ministry of Commerce and Industry, 2023). This gap directly impedes the nation’s ability to implement sustainable digital solutions for healthcare, energy management, and public services. Without a structured</w:t>
      </w:r>
      <w:r>
        <w:t xml:space="preserve"> </w:t>
      </w:r>
      <w:r>
        <w:rPr>
          <w:bCs/>
          <w:b/>
        </w:rPr>
        <w:t xml:space="preserve">Software Engineer</w:t>
      </w:r>
      <w:r>
        <w:t xml:space="preserve"> </w:t>
      </w:r>
      <w:r>
        <w:t xml:space="preserve">development framework specific to</w:t>
      </w:r>
      <w:r>
        <w:t xml:space="preserve"> </w:t>
      </w:r>
      <w:r>
        <w:rPr>
          <w:bCs/>
          <w:b/>
        </w:rPr>
        <w:t xml:space="preserve">Kuwait Kuwait City</w:t>
      </w:r>
      <w:r>
        <w:t xml:space="preserve">, the country risks lagging behind regional competitors like Dubai and Riyadh in the technology-driven economy.</w:t>
      </w:r>
    </w:p>
    <w:bookmarkEnd w:id="21"/>
    <w:bookmarkStart w:id="22" w:name="research-objectives"/>
    <w:p>
      <w:pPr>
        <w:pStyle w:val="Heading2"/>
      </w:pPr>
      <w:r>
        <w:t xml:space="preserve">Research Objectives</w:t>
      </w:r>
    </w:p>
    <w:p>
      <w:pPr>
        <w:pStyle w:val="FirstParagraph"/>
      </w:pPr>
      <w:r>
        <w:t xml:space="preserve">This study aims to achieve three interlinked objectives:</w:t>
      </w:r>
    </w:p>
    <w:p>
      <w:pPr>
        <w:numPr>
          <w:ilvl w:val="0"/>
          <w:numId w:val="1001"/>
        </w:numPr>
        <w:pStyle w:val="Compact"/>
      </w:pPr>
      <w:r>
        <w:rPr>
          <w:bCs/>
          <w:b/>
        </w:rPr>
        <w:t xml:space="preserve">Contextualize Best Practices</w:t>
      </w:r>
      <w:r>
        <w:t xml:space="preserve">: Develop a localized Software Engineering competency model integrating Gulf cultural norms, regulatory requirements (e.g., Kuwait Data Protection Law), and industry needs specific to Kuwait City’s urban environment.</w:t>
      </w:r>
    </w:p>
    <w:p>
      <w:pPr>
        <w:numPr>
          <w:ilvl w:val="0"/>
          <w:numId w:val="1001"/>
        </w:numPr>
        <w:pStyle w:val="Compact"/>
      </w:pPr>
      <w:r>
        <w:rPr>
          <w:bCs/>
          <w:b/>
        </w:rPr>
        <w:t xml:space="preserve">Bridge the Talent Gap</w:t>
      </w:r>
      <w:r>
        <w:t xml:space="preserve">: Propose a scalable apprenticeship framework for universities and tech firms in</w:t>
      </w:r>
      <w:r>
        <w:t xml:space="preserve"> </w:t>
      </w:r>
      <w:r>
        <w:rPr>
          <w:bCs/>
          <w:b/>
        </w:rPr>
        <w:t xml:space="preserve">Kuwait Kuwait City</w:t>
      </w:r>
      <w:r>
        <w:t xml:space="preserve">, emphasizing AI-driven development, cybersecurity, and IoT applications critical to smart city infrastructure.</w:t>
      </w:r>
    </w:p>
    <w:p>
      <w:pPr>
        <w:numPr>
          <w:ilvl w:val="0"/>
          <w:numId w:val="1001"/>
        </w:numPr>
        <w:pStyle w:val="Compact"/>
      </w:pPr>
      <w:r>
        <w:rPr>
          <w:bCs/>
          <w:b/>
        </w:rPr>
        <w:t xml:space="preserve">Create Measurable Impact Metrics</w:t>
      </w:r>
      <w:r>
        <w:t xml:space="preserve">: Establish KPIs for engineering teams that align with national goals—such as reducing public service digitalization timelines by 40% within five years—using Kuwait City’s municipal projects as case studies.</w:t>
      </w:r>
    </w:p>
    <w:bookmarkEnd w:id="22"/>
    <w:bookmarkStart w:id="23" w:name="literature-review"/>
    <w:p>
      <w:pPr>
        <w:pStyle w:val="Heading2"/>
      </w:pPr>
      <w:r>
        <w:t xml:space="preserve">Literature Review</w:t>
      </w:r>
    </w:p>
    <w:p>
      <w:pPr>
        <w:pStyle w:val="FirstParagraph"/>
      </w:pPr>
      <w:r>
        <w:t xml:space="preserve">Existing research on software engineering in the Middle East focuses primarily on cost optimization rather than contextual adaptation. Studies by Al-Suwaidi (2021) highlight talent shortages in GCC nations but lack Kuwait-specific insights. Meanwhile, global frameworks like IEEE’s Software Engineering Body of Knowledge (SWEBOK) fail to address regional challenges such as seasonal workforce fluctuations during Ramadan or the integration of Arabic language processing in software systems. Crucially, no research has examined how</w:t>
      </w:r>
      <w:r>
        <w:t xml:space="preserve"> </w:t>
      </w:r>
      <w:r>
        <w:rPr>
          <w:bCs/>
          <w:b/>
        </w:rPr>
        <w:t xml:space="preserve">Software Engineer</w:t>
      </w:r>
      <w:r>
        <w:t xml:space="preserve"> </w:t>
      </w:r>
      <w:r>
        <w:t xml:space="preserve">workflows adapt to Kuwait City’s unique infrastructure constraints—such as extreme heat affecting server cooling requirements or high-density urban planning impacting IoT network deployment. This gap necessitates a hyper-localized approach for our</w:t>
      </w:r>
      <w:r>
        <w:t xml:space="preserve"> </w:t>
      </w:r>
      <w:r>
        <w:rPr>
          <w:bCs/>
          <w:b/>
        </w:rPr>
        <w:t xml:space="preserve">Research Proposal</w:t>
      </w:r>
      <w:r>
        <w:t xml:space="preserve">.</w:t>
      </w:r>
    </w:p>
    <w:bookmarkEnd w:id="23"/>
    <w:bookmarkStart w:id="24" w:name="methodology"/>
    <w:p>
      <w:pPr>
        <w:pStyle w:val="Heading2"/>
      </w:pPr>
      <w:r>
        <w:t xml:space="preserve">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Comprehensive survey of 50+ Kuwaiti tech firms and government entities in Kuwait City, assessing current engineering practices, pain points, and training needs.</w:t>
      </w:r>
    </w:p>
    <w:p>
      <w:pPr>
        <w:numPr>
          <w:ilvl w:val="0"/>
          <w:numId w:val="1002"/>
        </w:numPr>
        <w:pStyle w:val="Compact"/>
      </w:pPr>
      <w:r>
        <w:rPr>
          <w:bCs/>
          <w:b/>
        </w:rPr>
        <w:t xml:space="preserve">Phase 2 (Months 5-10)</w:t>
      </w:r>
      <w:r>
        <w:t xml:space="preserve">: Action research with the Kuwait University Computer Science Department to co-design a curriculum pilot incorporating real-world projects from Al-Shuwaikh Industrial Area digital transformation initiatives.</w:t>
      </w:r>
    </w:p>
    <w:p>
      <w:pPr>
        <w:numPr>
          <w:ilvl w:val="0"/>
          <w:numId w:val="1002"/>
        </w:numPr>
        <w:pStyle w:val="Compact"/>
      </w:pPr>
      <w:r>
        <w:rPr>
          <w:bCs/>
          <w:b/>
        </w:rPr>
        <w:t xml:space="preserve">Phase 3 (Months 11-18)</w:t>
      </w:r>
      <w:r>
        <w:t xml:space="preserve">: Implementation of a controlled internship program at KISR (Kuwait Institute for Scientific Research), measuring outcomes on project delivery speed, code quality, and cultural adaptation among interns—particularly focusing on how Kuwaiti</w:t>
      </w:r>
      <w:r>
        <w:t xml:space="preserve"> </w:t>
      </w:r>
      <w:r>
        <w:rPr>
          <w:bCs/>
          <w:b/>
        </w:rPr>
        <w:t xml:space="preserve">Software Engineer</w:t>
      </w:r>
      <w:r>
        <w:t xml:space="preserve">s navigate cross-functional teams in multi-lingual environments.</w:t>
      </w:r>
    </w:p>
    <w:p>
      <w:pPr>
        <w:pStyle w:val="FirstParagraph"/>
      </w:pPr>
      <w:r>
        <w:t xml:space="preserve">Data will be triangulated through analytics of 10+ ongoing Kuwait City projects (e.g., the 2025 Smart Transportation Network) to validate findings against operational metrics.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"Kuwait Software Engineering Framework" detailing role-specific competencies (e.g., for a Software Engineer developing oil sector IoT systems versus municipal e-gov platforms).</w:t>
      </w:r>
    </w:p>
    <w:p>
      <w:pPr>
        <w:numPr>
          <w:ilvl w:val="0"/>
          <w:numId w:val="1003"/>
        </w:numPr>
        <w:pStyle w:val="Compact"/>
      </w:pPr>
      <w:r>
        <w:t xml:space="preserve">A university-industry partnership model replicable across Kuwait City’s educational institutions, targeting 30% increase in locally employed graduates within five years.</w:t>
      </w:r>
    </w:p>
    <w:p>
      <w:pPr>
        <w:numPr>
          <w:ilvl w:val="0"/>
          <w:numId w:val="1003"/>
        </w:numPr>
        <w:pStyle w:val="Compact"/>
      </w:pPr>
      <w:r>
        <w:t xml:space="preserve">Evidence-based policy recommendations for the Ministry of Communications, including incentives for firms to hire and train Kuwaiti Software Engineers—directly supporting Vision 2035’s goal of 70% local talent in knowledge sectors.</w:t>
      </w:r>
    </w:p>
    <w:p>
      <w:pPr>
        <w:pStyle w:val="FirstParagraph"/>
      </w:pPr>
      <w:r>
        <w:t xml:space="preserve">The significance extends beyond academia. A robust Software Engineering ecosystem in Kuwait City will accelerate national projects like the new Al-Khafji Smart City and reduce reliance on imported tech solutions, saving an estimated $220M annually (Kuwait Economic Development Fund, 2023). More importantly, it will position</w:t>
      </w:r>
      <w:r>
        <w:t xml:space="preserve"> </w:t>
      </w:r>
      <w:r>
        <w:rPr>
          <w:bCs/>
          <w:b/>
        </w:rPr>
        <w:t xml:space="preserve">Kuwait Kuwait City</w:t>
      </w:r>
      <w:r>
        <w:t xml:space="preserve"> </w:t>
      </w:r>
      <w:r>
        <w:t xml:space="preserve">as a regional benchmark for culturally intelligent software development—where</w:t>
      </w:r>
      <w:r>
        <w:t xml:space="preserve"> </w:t>
      </w:r>
      <w:r>
        <w:rPr>
          <w:bCs/>
          <w:b/>
        </w:rPr>
        <w:t xml:space="preserve">Software Engineer</w:t>
      </w:r>
      <w:r>
        <w:t xml:space="preserve">s understand local user behaviors (e.g., mobile-first public service engagement patterns) and regulatory nuances.</w:t>
      </w:r>
    </w:p>
    <w:bookmarkEnd w:id="25"/>
    <w:bookmarkStart w:id="26"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Field Research &amp; Needs Assessment</w:t>
            </w:r>
          </w:p>
        </w:tc>
        <w:tc>
          <w:tcPr/>
          <w:p>
            <w:pPr>
              <w:pStyle w:val="Compact"/>
              <w:jc w:val="left"/>
            </w:pPr>
            <w:r>
              <w:t xml:space="preserve">Months 1-4</w:t>
            </w:r>
          </w:p>
        </w:tc>
        <w:tc>
          <w:tcPr/>
          <w:p>
            <w:pPr>
              <w:pStyle w:val="Compact"/>
              <w:jc w:val="left"/>
            </w:pPr>
            <w:r>
              <w:t xml:space="preserve">$75,000</w:t>
            </w:r>
          </w:p>
        </w:tc>
      </w:tr>
      <w:tr>
        <w:tc>
          <w:tcPr/>
          <w:p>
            <w:pPr>
              <w:pStyle w:val="Compact"/>
              <w:jc w:val="left"/>
            </w:pPr>
            <w:r>
              <w:t xml:space="preserve">Curriculum Development &amp; Pilot Testing</w:t>
            </w:r>
          </w:p>
        </w:tc>
        <w:tc>
          <w:tcPr/>
          <w:p>
            <w:pPr>
              <w:pStyle w:val="Compact"/>
              <w:jc w:val="left"/>
            </w:pPr>
            <w:r>
              <w:t xml:space="preserve">Months 5-10</w:t>
            </w:r>
          </w:p>
        </w:tc>
        <w:tc>
          <w:tcPr/>
          <w:p>
            <w:pPr>
              <w:pStyle w:val="Compact"/>
              <w:jc w:val="left"/>
            </w:pPr>
            <w:r>
              <w:t xml:space="preserve">$95,000</w:t>
            </w:r>
          </w:p>
        </w:tc>
      </w:tr>
      <w:tr>
        <w:tc>
          <w:tcPr/>
          <w:p>
            <w:pPr>
              <w:pStyle w:val="Compact"/>
              <w:jc w:val="left"/>
            </w:pPr>
            <w:r>
              <w:t xml:space="preserve">Internship Program &amp; Impact Analysis</w:t>
            </w:r>
          </w:p>
        </w:tc>
        <w:tc>
          <w:tcPr/>
          <w:p>
            <w:pPr>
              <w:pStyle w:val="Compact"/>
              <w:jc w:val="left"/>
            </w:pPr>
            <w:r>
              <w:t xml:space="preserve">Months 11-18</w:t>
            </w:r>
          </w:p>
        </w:tc>
        <w:tc>
          <w:tcPr/>
          <w:p>
            <w:pPr>
              <w:pStyle w:val="Compact"/>
              <w:jc w:val="left"/>
            </w:pPr>
            <w:r>
              <w:t xml:space="preserve">$85,000</w:t>
            </w:r>
          </w:p>
        </w:tc>
      </w:tr>
      <w:tr>
        <w:tc>
          <w:tcPr/>
          <w:p>
            <w:pPr>
              <w:pStyle w:val="Compact"/>
              <w:jc w:val="left"/>
            </w:pPr>
            <w:r>
              <w:t xml:space="preserve">Total Budget Request</w:t>
            </w:r>
          </w:p>
        </w:tc>
        <w:tc>
          <w:tcPr/>
          <w:p>
            <w:pPr>
              <w:pStyle w:val="Compact"/>
              <w:jc w:val="left"/>
            </w:pPr>
            <w:r>
              <w:t xml:space="preserve">$255,000 (with $76,500 in-kind support from Kuwait University)</w:t>
            </w:r>
          </w:p>
        </w:tc>
        <w:tc>
          <w:tcPr/>
          <w:p>
            <w:pPr>
              <w:pStyle w:val="Compact"/>
            </w:pPr>
          </w:p>
        </w:tc>
      </w:tr>
    </w:tbl>
    <w:bookmarkEnd w:id="26"/>
    <w:bookmarkStart w:id="27" w:name="conclusion"/>
    <w:p>
      <w:pPr>
        <w:pStyle w:val="Heading2"/>
      </w:pPr>
      <w:r>
        <w:t xml:space="preserve">Conclusion</w:t>
      </w:r>
    </w:p>
    <w:p>
      <w:pPr>
        <w:pStyle w:val="FirstParagraph"/>
      </w:pPr>
      <w:r>
        <w:t xml:space="preserve">The success of Kuwait’s digital future hinges on developing a self-sustaining pipeline of world-class Software Engineers who understand the complexities of operating within</w:t>
      </w:r>
      <w:r>
        <w:t xml:space="preserve"> </w:t>
      </w:r>
      <w:r>
        <w:rPr>
          <w:bCs/>
          <w:b/>
        </w:rPr>
        <w:t xml:space="preserve">Kuwait Kuwait City</w:t>
      </w:r>
      <w:r>
        <w:t xml:space="preserve">. This Research Proposal outlines a strategic pathway to transform how software engineering is practiced, taught, and valued in our capital. By centering local context—rather than importing generic frameworks—we will cultivate talent that builds technology *for* Kuwaiti society *by* Kuwaitis. The outcomes will not only fill critical workforce gaps but also establish</w:t>
      </w:r>
      <w:r>
        <w:t xml:space="preserve"> </w:t>
      </w:r>
      <w:r>
        <w:rPr>
          <w:bCs/>
          <w:b/>
        </w:rPr>
        <w:t xml:space="preserve">Kuwait Kuwait City</w:t>
      </w:r>
      <w:r>
        <w:t xml:space="preserve"> </w:t>
      </w:r>
      <w:r>
        <w:t xml:space="preserve">as a leader in ethical, culturally responsive software development across the Middle East. We urge stakeholders—including government entities, educational institutions, and private sector innovators—to partner in this vital initiative for national advancement.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Kuwait City</dc:title>
  <dc:creator/>
  <dc:language>en</dc:language>
  <cp:keywords/>
  <dcterms:created xsi:type="dcterms:W3CDTF">2026-04-24T08:04:46Z</dcterms:created>
  <dcterms:modified xsi:type="dcterms:W3CDTF">2026-04-24T08:04:46Z</dcterms:modified>
</cp:coreProperties>
</file>

<file path=docProps/custom.xml><?xml version="1.0" encoding="utf-8"?>
<Properties xmlns="http://schemas.openxmlformats.org/officeDocument/2006/custom-properties" xmlns:vt="http://schemas.openxmlformats.org/officeDocument/2006/docPropsVTypes"/>
</file>