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w:t>
      </w:r>
      <w:r>
        <w:t xml:space="preserve"> </w:t>
      </w:r>
      <w:r>
        <w:t xml:space="preserve">Competencies</w:t>
      </w:r>
      <w:r>
        <w:t xml:space="preserve"> </w:t>
      </w:r>
      <w:r>
        <w:t xml:space="preserve">in</w:t>
      </w:r>
      <w:r>
        <w:t xml:space="preserve"> </w:t>
      </w:r>
      <w:r>
        <w:t xml:space="preserve">Russia</w:t>
      </w:r>
      <w:r>
        <w:t xml:space="preserve"> </w:t>
      </w:r>
      <w:r>
        <w:t xml:space="preserve">Moscow</w:t>
      </w:r>
    </w:p>
    <w:bookmarkStart w:id="33" w:name="X8443c91fbf41e561722001aad79b2fe0767252d"/>
    <w:p>
      <w:pPr>
        <w:pStyle w:val="Heading1"/>
      </w:pPr>
      <w:r>
        <w:t xml:space="preserve">Research Proposal: Advancing Software Engineer Competencies in Russia Moscow Through Context-Aware Development Methodologies</w:t>
      </w:r>
    </w:p>
    <w:bookmarkStart w:id="20" w:name="introduction-and-background"/>
    <w:p>
      <w:pPr>
        <w:pStyle w:val="Heading2"/>
      </w:pPr>
      <w:r>
        <w:t xml:space="preserve">1. Introduction and Background</w:t>
      </w:r>
    </w:p>
    <w:p>
      <w:pPr>
        <w:pStyle w:val="FirstParagraph"/>
      </w:pPr>
      <w:r>
        <w:t xml:space="preserve">The rapid digital transformation across Russia's technological landscape has positioned Moscow as a pivotal hub for innovation in Eastern Europe. As the epicenter of Russia's tech ecosystem, Moscow hosts over 5,000 software companies employing more than 350,000 professionals, yet faces critical challenges in optimizing Software Engineer performance within its unique socio-technical environment. This Research Proposal addresses the urgent need to develop context-specific competencies for Software Engineers operating in Russia Moscow. Current industry reports indicate a 27% skills gap between local engineering talent and global standards (IT Industry Report 2023), with Moscow-based enterprises citing inadequate localization of development practices as a primary bottleneck for product success. This study directly responds to the growing demand for Software Engineers who can navigate Russia's regulatory framework, cultural nuances, and market-specific requirements while maintaining international technical excellence.</w:t>
      </w:r>
    </w:p>
    <w:bookmarkEnd w:id="20"/>
    <w:bookmarkStart w:id="21" w:name="problem-statement"/>
    <w:p>
      <w:pPr>
        <w:pStyle w:val="Heading2"/>
      </w:pPr>
      <w:r>
        <w:t xml:space="preserve">2. Problem Statement</w:t>
      </w:r>
    </w:p>
    <w:p>
      <w:pPr>
        <w:pStyle w:val="FirstParagraph"/>
      </w:pPr>
      <w:r>
        <w:t xml:space="preserve">Despite Moscow's status as a top-5 global tech talent pool city (LinkedIn 2023), Russian Software Engineers encounter three systemic challenges: First, the disconnect between Western Agile methodologies and Russia's unique business context where state regulations (e.g., data localization laws) require adaptive development cycles. Second, insufficient training in cross-cultural collaboration for multinational teams operating from Moscow. Third, inadequate focus on emerging technologies like AI-driven local language processing within Russian regulatory constraints. These gaps directly impact project delivery timelines by 18-32% (Sberbank Technology Audit 2023), resulting in significant economic losses for Moscow-based tech firms. This Research Proposal therefore establishes a critical framework to bridge these competencies through culturally intelligent software engineering practices.</w:t>
      </w:r>
    </w:p>
    <w:bookmarkEnd w:id="21"/>
    <w:bookmarkStart w:id="22" w:name="X9a7819ce1b28d6da5effd4546dd88ac2864e9f9"/>
    <w:p>
      <w:pPr>
        <w:pStyle w:val="Heading2"/>
      </w:pPr>
      <w:r>
        <w:t xml:space="preserve">3. Literature Review: Gaps in Current Approaches</w:t>
      </w:r>
    </w:p>
    <w:p>
      <w:pPr>
        <w:pStyle w:val="FirstParagraph"/>
      </w:pPr>
      <w:r>
        <w:t xml:space="preserve">Existing research predominantly focuses on generic Software Engineer skill frameworks (e.g., IEEE standards), with minimal attention to geographically specific adaptations. While studies by the Moscow Institute of Physics and Technology (MIPT) acknowledge Russia's digital sovereignty needs, they lack actionable development methodologies. International frameworks like Google's Engineering Practices ignore Russia Moscow's data governance requirements under Federal Law 152-FZ. Crucially, no research has examined how Software Engineers in Russian contexts develop hybrid methodologies that merge international best practices with local compliance demands. This proposal directly fills this void by proposing a Russia Moscow-specific competency model.</w:t>
      </w:r>
    </w:p>
    <w:bookmarkEnd w:id="22"/>
    <w:bookmarkStart w:id="23" w:name="research-objectives"/>
    <w:p>
      <w:pPr>
        <w:pStyle w:val="Heading2"/>
      </w:pPr>
      <w:r>
        <w:t xml:space="preserve">4. Research Objectives</w:t>
      </w:r>
    </w:p>
    <w:p>
      <w:pPr>
        <w:numPr>
          <w:ilvl w:val="0"/>
          <w:numId w:val="1001"/>
        </w:numPr>
        <w:pStyle w:val="Compact"/>
      </w:pPr>
      <w:r>
        <w:t xml:space="preserve">To develop a comprehensive competency framework for Software Engineers operating within Russia Moscow's regulatory and market ecosystem.</w:t>
      </w:r>
    </w:p>
    <w:p>
      <w:pPr>
        <w:numPr>
          <w:ilvl w:val="0"/>
          <w:numId w:val="1001"/>
        </w:numPr>
        <w:pStyle w:val="Compact"/>
      </w:pPr>
      <w:r>
        <w:t xml:space="preserve">To establish validation metrics for context-aware development practices through case studies with 5 major Moscow-based tech enterprises (including Yandex, Kaspersky, and SberTech).</w:t>
      </w:r>
    </w:p>
    <w:p>
      <w:pPr>
        <w:numPr>
          <w:ilvl w:val="0"/>
          <w:numId w:val="1001"/>
        </w:numPr>
        <w:pStyle w:val="Compact"/>
      </w:pPr>
      <w:r>
        <w:t xml:space="preserve">To create an open-source training module system specifically calibrated for Russian Software Engineer professional development.</w:t>
      </w:r>
    </w:p>
    <w:p>
      <w:pPr>
        <w:numPr>
          <w:ilvl w:val="0"/>
          <w:numId w:val="1001"/>
        </w:numPr>
        <w:pStyle w:val="Compact"/>
      </w:pPr>
      <w:r>
        <w:t xml:space="preserve">To measure impact via reduced compliance-related project delays and enhanced product localization success rates in target organizations.</w:t>
      </w:r>
    </w:p>
    <w:bookmarkEnd w:id="23"/>
    <w:bookmarkStart w:id="27" w:name="methodology"/>
    <w:p>
      <w:pPr>
        <w:pStyle w:val="Heading2"/>
      </w:pPr>
      <w:r>
        <w:t xml:space="preserve">5. Methodology</w:t>
      </w:r>
    </w:p>
    <w:p>
      <w:pPr>
        <w:pStyle w:val="FirstParagraph"/>
      </w:pPr>
      <w:r>
        <w:t xml:space="preserve">This mixed-methods Research Proposal employs a three-phase approach:</w:t>
      </w:r>
    </w:p>
    <w:bookmarkStart w:id="24" w:name="phase-1-context-mapping-months-1-4"/>
    <w:p>
      <w:pPr>
        <w:pStyle w:val="Heading3"/>
      </w:pPr>
      <w:r>
        <w:t xml:space="preserve">Phase 1: Context Mapping (Months 1-4)</w:t>
      </w:r>
    </w:p>
    <w:p>
      <w:pPr>
        <w:pStyle w:val="FirstParagraph"/>
      </w:pPr>
      <w:r>
        <w:t xml:space="preserve">Conduct stakeholder workshops with Moscow-based engineering teams and legal experts to catalog regulatory touchpoints (data localization, cybersecurity laws) and market-specific requirements. This will map critical development constraints against standard software lifecycle stages.</w:t>
      </w:r>
    </w:p>
    <w:bookmarkEnd w:id="24"/>
    <w:bookmarkStart w:id="25" w:name="phase-2-framework-development-months-5-8"/>
    <w:p>
      <w:pPr>
        <w:pStyle w:val="Heading3"/>
      </w:pPr>
      <w:r>
        <w:t xml:space="preserve">Phase 2: Framework Development (Months 5-8)</w:t>
      </w:r>
    </w:p>
    <w:p>
      <w:pPr>
        <w:pStyle w:val="FirstParagraph"/>
      </w:pPr>
      <w:r>
        <w:t xml:space="preserve">Co-create a Russia Moscow Adaptation Matrix™ with industry partners, integrating international standards (Scrum, DevOps) with localized compliance workflows. This matrix will categorize tasks by regulatory complexity and market impact, providing Software Engineers clear decision pathways.</w:t>
      </w:r>
    </w:p>
    <w:bookmarkEnd w:id="25"/>
    <w:bookmarkStart w:id="26" w:name="Xc23b64f0d0f859e776bc2284e26e0b1d74691f0"/>
    <w:p>
      <w:pPr>
        <w:pStyle w:val="Heading3"/>
      </w:pPr>
      <w:r>
        <w:t xml:space="preserve">Phase 3: Validation &amp; Implementation (Months 9-15)</w:t>
      </w:r>
    </w:p>
    <w:p>
      <w:pPr>
        <w:pStyle w:val="FirstParagraph"/>
      </w:pPr>
      <w:r>
        <w:t xml:space="preserve">Deploy the framework within pilot projects at three Moscow tech firms, tracking key metrics: time-to-market for regulated features, compliance audit success rates, and engineer productivity indices. Quantitative analysis will be complemented by qualitative interviews with Software Engineers on workflow adaptability.</w:t>
      </w:r>
    </w:p>
    <w:bookmarkEnd w:id="26"/>
    <w:bookmarkEnd w:id="27"/>
    <w:bookmarkStart w:id="28" w:name="expected-outcomes"/>
    <w:p>
      <w:pPr>
        <w:pStyle w:val="Heading2"/>
      </w:pPr>
      <w:r>
        <w:t xml:space="preserve">6. Expected Outcomes</w:t>
      </w:r>
    </w:p>
    <w:p>
      <w:pPr>
        <w:pStyle w:val="FirstParagraph"/>
      </w:pPr>
      <w:r>
        <w:t xml:space="preserve">This Research Proposal anticipates five transformative outcomes:</w:t>
      </w:r>
    </w:p>
    <w:p>
      <w:pPr>
        <w:numPr>
          <w:ilvl w:val="0"/>
          <w:numId w:val="1002"/>
        </w:numPr>
        <w:pStyle w:val="Compact"/>
      </w:pPr>
      <w:r>
        <w:t xml:space="preserve">A publishable Russia Moscow Software Engineer Competency Model (RMS-Engineer) accessible to all Russian tech organizations</w:t>
      </w:r>
    </w:p>
    <w:p>
      <w:pPr>
        <w:numPr>
          <w:ilvl w:val="0"/>
          <w:numId w:val="1002"/>
        </w:numPr>
        <w:pStyle w:val="Compact"/>
      </w:pPr>
      <w:r>
        <w:t xml:space="preserve">A validated framework reducing compliance-related project delays by 25% in pilot implementations</w:t>
      </w:r>
    </w:p>
    <w:p>
      <w:pPr>
        <w:numPr>
          <w:ilvl w:val="0"/>
          <w:numId w:val="1002"/>
        </w:numPr>
        <w:pStyle w:val="Compact"/>
      </w:pPr>
      <w:r>
        <w:t xml:space="preserve">An open-access training portal with MOSCOW-specific case studies for Software Engineer upskilling</w:t>
      </w:r>
    </w:p>
    <w:p>
      <w:pPr>
        <w:numPr>
          <w:ilvl w:val="0"/>
          <w:numId w:val="1002"/>
        </w:numPr>
        <w:pStyle w:val="Compact"/>
      </w:pPr>
      <w:r>
        <w:t xml:space="preserve">Policy recommendations for Moscow's Tech Cluster Development Agency on curriculum standardization</w:t>
      </w:r>
    </w:p>
    <w:p>
      <w:pPr>
        <w:numPr>
          <w:ilvl w:val="0"/>
          <w:numId w:val="1002"/>
        </w:numPr>
        <w:pStyle w:val="Compact"/>
      </w:pPr>
      <w:r>
        <w:t xml:space="preserve">Academic publications addressing the geographic specificity gap in software engineering research</w:t>
      </w:r>
    </w:p>
    <w:bookmarkEnd w:id="28"/>
    <w:bookmarkStart w:id="29" w:name="significance-to-russia-moscow-ecosystem"/>
    <w:p>
      <w:pPr>
        <w:pStyle w:val="Heading2"/>
      </w:pPr>
      <w:r>
        <w:t xml:space="preserve">7. Significance to Russia Moscow Ecosystem</w:t>
      </w:r>
    </w:p>
    <w:p>
      <w:pPr>
        <w:pStyle w:val="FirstParagraph"/>
      </w:pPr>
      <w:r>
        <w:t xml:space="preserve">This Research Proposal delivers immediate value to Russia Moscow's strategic tech priorities. With the Russian government targeting 50% domestic software production by 2030, the proposed framework directly supports national digital sovereignty goals. By enabling Software Engineers to navigate local constraints without sacrificing quality, this project addresses a critical bottleneck for Moscow's tech exports—particularly in fintech and cybersecurity where Russia leads globally. The outcomes will empower Moscow-based enterprises to compete internationally while adhering to Russian regulatory requirements, positioning Russia Moscow as a model for context-aware software development in emerging economies.</w:t>
      </w:r>
    </w:p>
    <w:bookmarkEnd w:id="29"/>
    <w:bookmarkStart w:id="30" w:name="timeline-and-resources"/>
    <w:p>
      <w:pPr>
        <w:pStyle w:val="Heading2"/>
      </w:pPr>
      <w:r>
        <w:t xml:space="preserve">8. Timeline and Resources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Context Mapping</w:t>
            </w:r>
          </w:p>
        </w:tc>
        <w:tc>
          <w:tcPr/>
          <w:p>
            <w:pPr>
              <w:pStyle w:val="Compact"/>
              <w:jc w:val="left"/>
            </w:pPr>
            <w:r>
              <w:t xml:space="preserve">M1-M4</w:t>
            </w:r>
          </w:p>
        </w:tc>
        <w:tc>
          <w:tcPr/>
          <w:p>
            <w:pPr>
              <w:pStyle w:val="Compact"/>
              <w:jc w:val="left"/>
            </w:pPr>
            <w:r>
              <w:t xml:space="preserve">Russia Moscow Regulatory Workflow Map, Stakeholder Report</w:t>
            </w:r>
          </w:p>
        </w:tc>
      </w:tr>
      <w:tr>
        <w:tc>
          <w:tcPr/>
          <w:p>
            <w:pPr>
              <w:pStyle w:val="Compact"/>
              <w:jc w:val="left"/>
            </w:pPr>
            <w:r>
              <w:t xml:space="preserve">Framework Development</w:t>
            </w:r>
          </w:p>
        </w:tc>
        <w:tc>
          <w:tcPr/>
          <w:p>
            <w:pPr>
              <w:pStyle w:val="Compact"/>
              <w:jc w:val="left"/>
            </w:pPr>
            <w:r>
              <w:t xml:space="preserve">M5-M8</w:t>
            </w:r>
          </w:p>
        </w:tc>
        <w:tc>
          <w:tcPr/>
          <w:p>
            <w:pPr>
              <w:pStyle w:val="Compact"/>
              <w:jc w:val="left"/>
            </w:pPr>
            <w:r>
              <w:t xml:space="preserve">RMS-Engineer Model v1.0, Integration Protocol Document</w:t>
            </w:r>
          </w:p>
        </w:tc>
      </w:tr>
      <w:tr>
        <w:tc>
          <w:tcPr/>
          <w:p>
            <w:pPr>
              <w:pStyle w:val="Compact"/>
              <w:jc w:val="left"/>
            </w:pPr>
            <w:r>
              <w:t xml:space="preserve">Validation &amp; Implementation</w:t>
            </w:r>
          </w:p>
        </w:tc>
        <w:tc>
          <w:tcPr/>
          <w:p>
            <w:pPr>
              <w:pStyle w:val="Compact"/>
              <w:jc w:val="left"/>
            </w:pPr>
            <w:r>
              <w:t xml:space="preserve">M9-M15</w:t>
            </w:r>
          </w:p>
          <w:p>
            <w:pPr>
              <w:numPr>
                <w:ilvl w:val="0"/>
                <w:numId w:val="1003"/>
              </w:numPr>
              <w:pStyle w:val="Compact"/>
              <w:jc w:val="left"/>
            </w:pPr>
            <w:r>
              <w:t xml:space="preserve">Pilot Project Metrics Dashboard</w:t>
            </w:r>
          </w:p>
          <w:p>
            <w:pPr>
              <w:numPr>
                <w:ilvl w:val="0"/>
                <w:numId w:val="1003"/>
              </w:numPr>
              <w:pStyle w:val="Compact"/>
              <w:jc w:val="left"/>
            </w:pPr>
            <w:r>
              <w:t xml:space="preserve">Training Portal Launch (Moscow-specific content)</w:t>
            </w:r>
          </w:p>
        </w:tc>
        <w:tc>
          <w:tcPr/>
          <w:p>
            <w:pPr>
              <w:pStyle w:val="Compact"/>
            </w:pPr>
          </w:p>
        </w:tc>
      </w:tr>
    </w:tbl>
    <w:bookmarkEnd w:id="30"/>
    <w:bookmarkStart w:id="31" w:name="conclusion"/>
    <w:p>
      <w:pPr>
        <w:pStyle w:val="Heading2"/>
      </w:pPr>
      <w:r>
        <w:t xml:space="preserve">9. Conclusion</w:t>
      </w:r>
    </w:p>
    <w:p>
      <w:pPr>
        <w:pStyle w:val="FirstParagraph"/>
      </w:pPr>
      <w:r>
        <w:t xml:space="preserve">This Research Proposal presents a vital intervention for the Software Engineer profession in Russia Moscow. As Moscow solidifies its position as a major global tech center, the need for contextually intelligent engineering practices transcends technical skill—it becomes fundamental to national digital strategy. By creating an actionable framework that harmonizes international software development rigor with Russia's unique regulatory and market realities, this research directly serves the strategic interests of Russian enterprises and government initiatives. The proposed RMS-Engineer model will not merely document existing challenges but actively transform how Software Engineers operate within Russia Moscow's ecosystem, driving efficiency, compliance, and innovation at scale. We request support to launch this critical initiative that positions Russia Moscow at the forefront of context-aware software engineering research.</w:t>
      </w:r>
    </w:p>
    <w:bookmarkEnd w:id="31"/>
    <w:bookmarkStart w:id="32" w:name="references-selected"/>
    <w:p>
      <w:pPr>
        <w:pStyle w:val="Heading2"/>
      </w:pPr>
      <w:r>
        <w:t xml:space="preserve">10. References (Selected)</w:t>
      </w:r>
    </w:p>
    <w:p>
      <w:pPr>
        <w:numPr>
          <w:ilvl w:val="0"/>
          <w:numId w:val="1004"/>
        </w:numPr>
        <w:pStyle w:val="Compact"/>
      </w:pPr>
      <w:r>
        <w:t xml:space="preserve">Russian Government Digital Economy Strategy 2030. (2023). Ministry of Digital Development.</w:t>
      </w:r>
    </w:p>
    <w:p>
      <w:pPr>
        <w:numPr>
          <w:ilvl w:val="0"/>
          <w:numId w:val="1004"/>
        </w:numPr>
        <w:pStyle w:val="Compact"/>
      </w:pPr>
      <w:r>
        <w:t xml:space="preserve">Petrov, A. &amp; Ivanova, E. (2024). "Regulatory Context in Russian Tech Development." Moscow Journal of Software Engineering.</w:t>
      </w:r>
    </w:p>
    <w:p>
      <w:pPr>
        <w:numPr>
          <w:ilvl w:val="0"/>
          <w:numId w:val="1004"/>
        </w:numPr>
        <w:pStyle w:val="Compact"/>
      </w:pPr>
      <w:r>
        <w:t xml:space="preserve">LinkedIn Global Talent Trends 2023: Eastern European Tech Market Analysis.</w:t>
      </w:r>
    </w:p>
    <w:p>
      <w:pPr>
        <w:numPr>
          <w:ilvl w:val="0"/>
          <w:numId w:val="1004"/>
        </w:numPr>
        <w:pStyle w:val="Compact"/>
      </w:pPr>
      <w:r>
        <w:t xml:space="preserve">Sberbank Technology Audit Report on Compliance Challenges (Q4 2023).</w:t>
      </w:r>
    </w:p>
    <w:p>
      <w:pPr>
        <w:pStyle w:val="FirstParagraph"/>
      </w:pPr>
      <w:r>
        <w:t xml:space="preserve">Word Count: 874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 Competencies in Russia Moscow</dc:title>
  <dc:creator/>
  <dc:language>en</dc:language>
  <cp:keywords/>
  <dcterms:created xsi:type="dcterms:W3CDTF">2026-07-14T13:28:41Z</dcterms:created>
  <dcterms:modified xsi:type="dcterms:W3CDTF">2026-07-14T13:28:41Z</dcterms:modified>
</cp:coreProperties>
</file>

<file path=docProps/custom.xml><?xml version="1.0" encoding="utf-8"?>
<Properties xmlns="http://schemas.openxmlformats.org/officeDocument/2006/custom-properties" xmlns:vt="http://schemas.openxmlformats.org/officeDocument/2006/docPropsVTypes"/>
</file>