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Competencies</w:t>
      </w:r>
      <w:r>
        <w:t xml:space="preserve"> </w:t>
      </w:r>
      <w:r>
        <w:t xml:space="preserve">in</w:t>
      </w:r>
      <w:r>
        <w:t xml:space="preserve"> </w:t>
      </w:r>
      <w:r>
        <w:t xml:space="preserve">Russia</w:t>
      </w:r>
      <w:r>
        <w:t xml:space="preserve"> </w:t>
      </w:r>
      <w:r>
        <w:t xml:space="preserve">Moscow</w:t>
      </w:r>
    </w:p>
    <w:bookmarkStart w:id="28" w:name="Xc103d438ede36526f383fe554405ba732e86438"/>
    <w:p>
      <w:pPr>
        <w:pStyle w:val="Heading1"/>
      </w:pPr>
      <w:r>
        <w:t xml:space="preserve">Research Proposal: Advancing Professional Development for Special Education Teachers in Moscow, Russia</w:t>
      </w:r>
    </w:p>
    <w:bookmarkStart w:id="20" w:name="introduction"/>
    <w:p>
      <w:pPr>
        <w:pStyle w:val="Heading2"/>
      </w:pPr>
      <w:r>
        <w:t xml:space="preserve">1. Introduction</w:t>
      </w:r>
    </w:p>
    <w:p>
      <w:pPr>
        <w:pStyle w:val="FirstParagraph"/>
      </w:pPr>
      <w:r>
        <w:t xml:space="preserve">In the dynamic educational landscape of</w:t>
      </w:r>
      <w:r>
        <w:t xml:space="preserve"> </w:t>
      </w:r>
      <w:r>
        <w:rPr>
          <w:bCs/>
          <w:b/>
        </w:rPr>
        <w:t xml:space="preserve">Russia Moscow</w:t>
      </w:r>
      <w:r>
        <w:t xml:space="preserve">, the provision of quality special education remains a critical national priority. As Russia advances its inclusive education policies under Federal Law No. 273-FZ "On Education," the demand for skilled</w:t>
      </w:r>
      <w:r>
        <w:t xml:space="preserve"> </w:t>
      </w:r>
      <w:r>
        <w:rPr>
          <w:bCs/>
          <w:b/>
        </w:rPr>
        <w:t xml:space="preserve">Special Education Teacher</w:t>
      </w:r>
      <w:r>
        <w:t xml:space="preserve">s has surged, yet systemic challenges persist in teacher preparation and retention. This</w:t>
      </w:r>
      <w:r>
        <w:t xml:space="preserve"> </w:t>
      </w:r>
      <w:r>
        <w:rPr>
          <w:bCs/>
          <w:b/>
        </w:rPr>
        <w:t xml:space="preserve">Research Proposal</w:t>
      </w:r>
      <w:r>
        <w:t xml:space="preserve"> </w:t>
      </w:r>
      <w:r>
        <w:t xml:space="preserve">addresses the urgent need to develop contextually relevant professional development frameworks for Special Education Teachers operating within Moscow's unique socio-educational environment. With over 60,000 students with disabilities enrolled in Moscow's schools (Moscow Department of Education, 2023), this research directly responds to regional implementation gaps while aligning with Russia's national strategy for inclusive education by 2035.</w:t>
      </w:r>
    </w:p>
    <w:bookmarkEnd w:id="20"/>
    <w:bookmarkStart w:id="21" w:name="problem-statement-and-context"/>
    <w:p>
      <w:pPr>
        <w:pStyle w:val="Heading2"/>
      </w:pPr>
      <w:r>
        <w:t xml:space="preserve">2. Problem Statement and Context</w:t>
      </w:r>
    </w:p>
    <w:p>
      <w:pPr>
        <w:pStyle w:val="FirstParagraph"/>
      </w:pPr>
      <w:r>
        <w:t xml:space="preserve">Despite legislative progress in</w:t>
      </w:r>
      <w:r>
        <w:t xml:space="preserve"> </w:t>
      </w:r>
      <w:r>
        <w:rPr>
          <w:bCs/>
          <w:b/>
        </w:rPr>
        <w:t xml:space="preserve">Russia Moscow</w:t>
      </w:r>
      <w:r>
        <w:t xml:space="preserve">, Special Education Teachers face significant obstacles: inadequate pre-service training, limited access to specialized resources, and insufficient support systems for working with students with complex needs (Shestakova &amp; Ivanov, 2022). A 2023 Moscow School Survey revealed that 68% of Special Education Teachers reported needing advanced training in neurodiversity interventions—far exceeding national averages. Compounding this, urban-rural disparities within Moscow's educational system create uneven service delivery, particularly affecting children with autism and severe learning disabilities in peripheral districts like Solntsevo and Novokosino. This gap threatens Russia's commitment to the UN Convention on the Rights of Persons with Disabilities (2016), ratified by Russia in 2019.</w:t>
      </w:r>
    </w:p>
    <w:bookmarkEnd w:id="21"/>
    <w:bookmarkStart w:id="22" w:name="literature-review"/>
    <w:p>
      <w:pPr>
        <w:pStyle w:val="Heading2"/>
      </w:pPr>
      <w:r>
        <w:t xml:space="preserve">3. Literature Review</w:t>
      </w:r>
    </w:p>
    <w:p>
      <w:pPr>
        <w:pStyle w:val="FirstParagraph"/>
      </w:pPr>
      <w:r>
        <w:t xml:space="preserve">Existing studies on Special Education in post-Soviet contexts highlight three critical voids: (1) Over-reliance on deficit-based models instead of strengths-based approaches (Kozlov, 2020); (2) Lack of Moscow-specific pedagogical frameworks integrating Russian cultural context with international best practices; and (3) Minimal research on teacher retention strategies in high-stress urban settings. While European models like Finland's collaborative teacher networks show promise, they remain underutilized in</w:t>
      </w:r>
      <w:r>
        <w:t xml:space="preserve"> </w:t>
      </w:r>
      <w:r>
        <w:rPr>
          <w:bCs/>
          <w:b/>
        </w:rPr>
        <w:t xml:space="preserve">Russia Moscow</w:t>
      </w:r>
      <w:r>
        <w:t xml:space="preserve"> </w:t>
      </w:r>
      <w:r>
        <w:t xml:space="preserve">due to language barriers and policy misalignment. Crucially, no study has examined how Moscow's unique demographic pressures—such as rapid migration from regions with weaker special education infrastructure—affect the daily practice of a Special Education Teacher.</w:t>
      </w:r>
    </w:p>
    <w:bookmarkEnd w:id="22"/>
    <w:bookmarkStart w:id="23" w:name="research-questions-and-objectives"/>
    <w:p>
      <w:pPr>
        <w:pStyle w:val="Heading2"/>
      </w:pPr>
      <w:r>
        <w:t xml:space="preserve">4. Research Questions and Objectives</w:t>
      </w:r>
    </w:p>
    <w:p>
      <w:pPr>
        <w:pStyle w:val="FirstParagraph"/>
      </w:pPr>
      <w:r>
        <w:t xml:space="preserve">This study will address three interrelated questions:</w:t>
      </w:r>
    </w:p>
    <w:p>
      <w:pPr>
        <w:numPr>
          <w:ilvl w:val="0"/>
          <w:numId w:val="1001"/>
        </w:numPr>
        <w:pStyle w:val="Compact"/>
      </w:pPr>
      <w:r>
        <w:t xml:space="preserve">What are the most acute competency gaps among current Special Education Teachers in Moscow's public schools?</w:t>
      </w:r>
    </w:p>
    <w:p>
      <w:pPr>
        <w:numPr>
          <w:ilvl w:val="0"/>
          <w:numId w:val="1001"/>
        </w:numPr>
        <w:pStyle w:val="Compact"/>
      </w:pPr>
      <w:r>
        <w:t xml:space="preserve">How do Moscow-specific contextual factors (socioeconomic diversity, school infrastructure, administrative support) influence teaching efficacy?</w:t>
      </w:r>
    </w:p>
    <w:p>
      <w:pPr>
        <w:numPr>
          <w:ilvl w:val="0"/>
          <w:numId w:val="1001"/>
        </w:numPr>
        <w:pStyle w:val="Compact"/>
      </w:pPr>
      <w:r>
        <w:t xml:space="preserve">Which professional development models demonstrate the highest potential for sustainable implementation within Russia's educational governance structure?</w:t>
      </w:r>
    </w:p>
    <w:p>
      <w:pPr>
        <w:pStyle w:val="FirstParagraph"/>
      </w:pPr>
      <w:r>
        <w:t xml:space="preserve">The primary objectives are to: (a) Develop a competency framework for Special Education Teachers tailored to Moscow's urban context; (b) Design and pilot a culturally responsive teacher training module; and (c) Propose policy recommendations for the Moscow Department of Education.</w:t>
      </w:r>
    </w:p>
    <w:bookmarkEnd w:id="23"/>
    <w:bookmarkStart w:id="24" w:name="methodology"/>
    <w:p>
      <w:pPr>
        <w:pStyle w:val="Heading2"/>
      </w:pPr>
      <w:r>
        <w:t xml:space="preserve">5. Methodology</w:t>
      </w:r>
    </w:p>
    <w:p>
      <w:pPr>
        <w:pStyle w:val="FirstParagraph"/>
      </w:pPr>
      <w:r>
        <w:t xml:space="preserve">This mixed-methods study employs a sequential explanatory design across 18 months:</w:t>
      </w:r>
    </w:p>
    <w:p>
      <w:pPr>
        <w:numPr>
          <w:ilvl w:val="0"/>
          <w:numId w:val="1002"/>
        </w:numPr>
        <w:pStyle w:val="Compact"/>
      </w:pPr>
      <w:r>
        <w:rPr>
          <w:bCs/>
          <w:b/>
        </w:rPr>
        <w:t xml:space="preserve">Phase 1 (Months 1-4): Quantitative Analysis</w:t>
      </w:r>
      <w:r>
        <w:t xml:space="preserve"> </w:t>
      </w:r>
      <w:r>
        <w:t xml:space="preserve">- Survey of all 876 Special Education Teachers in Moscow's municipal schools, using a validated competency assessment tool adapted from the WHO's Inclusive Education Framework. Stratified sampling ensures representation across district types (central, peripheral, special schools).</w:t>
      </w:r>
    </w:p>
    <w:p>
      <w:pPr>
        <w:numPr>
          <w:ilvl w:val="0"/>
          <w:numId w:val="1002"/>
        </w:numPr>
        <w:pStyle w:val="Compact"/>
      </w:pPr>
      <w:r>
        <w:rPr>
          <w:bCs/>
          <w:b/>
        </w:rPr>
        <w:t xml:space="preserve">Phase 2 (Months 5-10): Qualitative Exploration</w:t>
      </w:r>
      <w:r>
        <w:t xml:space="preserve"> </w:t>
      </w:r>
      <w:r>
        <w:t xml:space="preserve">- Focus groups with 36 teachers and in-depth interviews with 12 school directors and regional education officers to contextualize quantitative findings. Thematic analysis will identify systemic barriers unique to Moscow.</w:t>
      </w:r>
    </w:p>
    <w:p>
      <w:pPr>
        <w:numPr>
          <w:ilvl w:val="0"/>
          <w:numId w:val="1002"/>
        </w:numPr>
        <w:pStyle w:val="Compact"/>
      </w:pPr>
      <w:r>
        <w:rPr>
          <w:bCs/>
          <w:b/>
        </w:rPr>
        <w:t xml:space="preserve">Phase 3 (Months 11-15): Intervention Design</w:t>
      </w:r>
      <w:r>
        <w:t xml:space="preserve"> </w:t>
      </w:r>
      <w:r>
        <w:t xml:space="preserve">- Co-creation workshop with teachers, psychologists, and Ministry of Education representatives to develop a modular training program addressing identified gaps. The pilot will be implemented in 6 diverse Moscow schools (3 primary, 3 secondary).</w:t>
      </w:r>
    </w:p>
    <w:p>
      <w:pPr>
        <w:numPr>
          <w:ilvl w:val="0"/>
          <w:numId w:val="1002"/>
        </w:numPr>
        <w:pStyle w:val="Compact"/>
      </w:pPr>
      <w:r>
        <w:rPr>
          <w:bCs/>
          <w:b/>
        </w:rPr>
        <w:t xml:space="preserve">Phase 4 (Months 16-18): Evaluation &amp; Dissemination</w:t>
      </w:r>
      <w:r>
        <w:t xml:space="preserve"> </w:t>
      </w:r>
      <w:r>
        <w:t xml:space="preserve">- Pre/post-assessment of teacher competencies and student outcomes; policy brief for Moscow Department of Education.</w:t>
      </w:r>
    </w:p>
    <w:p>
      <w:pPr>
        <w:pStyle w:val="FirstParagraph"/>
      </w:pPr>
      <w:r>
        <w:t xml:space="preserve">Data collection adheres to Russian ethical standards (Order No. 772, 2021) with institutional review approval from Moscow State Pedagogical University. All analysis will be conducted in Russian using NVivo and SPSS, with bilingual reporting for international accessibility.</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generate three transformative outputs: (1) A Moscow-specific competency map for Special Education Teachers, explicitly integrating Russian pedagogical traditions with contemporary neurodiversity science; (2) An evidence-based professional development model validated through Moscow's school system, addressing gaps in assistive technology use and trauma-informed practices; and (3) A policy roadmap for scaling successful interventions across</w:t>
      </w:r>
      <w:r>
        <w:t xml:space="preserve"> </w:t>
      </w:r>
      <w:r>
        <w:rPr>
          <w:bCs/>
          <w:b/>
        </w:rPr>
        <w:t xml:space="preserve">Russia Moscow</w:t>
      </w:r>
      <w:r>
        <w:t xml:space="preserve">'s 15 districts. Crucially, the study will measure impact on student outcomes—such as IEP goal attainment rates—which have been underreported in prior Russian research.</w:t>
      </w:r>
    </w:p>
    <w:p>
      <w:pPr>
        <w:pStyle w:val="BodyText"/>
      </w:pPr>
      <w:r>
        <w:t xml:space="preserve">Significance extends beyond Moscow: Findings will inform national curriculum revisions for Special Education Teacher certification in</w:t>
      </w:r>
      <w:r>
        <w:t xml:space="preserve"> </w:t>
      </w:r>
      <w:r>
        <w:rPr>
          <w:bCs/>
          <w:b/>
        </w:rPr>
        <w:t xml:space="preserve">Russia</w:t>
      </w:r>
      <w:r>
        <w:t xml:space="preserve">, addressing a critical gap noted by the Ministry of Education's 2023 Audit. The project also aligns with Moscow's "Smart City" initiative by developing a digital platform for teacher collaboration, potentially serving as a model for other Russian megacities like St. Petersburg and Kazan.</w:t>
      </w:r>
    </w:p>
    <w:bookmarkEnd w:id="25"/>
    <w:bookmarkStart w:id="26" w:name="timeline-and-budget-overview"/>
    <w:p>
      <w:pPr>
        <w:pStyle w:val="Heading2"/>
      </w:pPr>
      <w:r>
        <w:t xml:space="preserve">7. 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Budget Allocation (RUB)</w:t>
            </w:r>
          </w:p>
        </w:tc>
      </w:tr>
      <w:tr>
        <w:tc>
          <w:tcPr/>
          <w:p>
            <w:pPr>
              <w:pStyle w:val="Compact"/>
              <w:jc w:val="left"/>
            </w:pPr>
            <w:r>
              <w:t xml:space="preserve">Phase 1: Survey Design &amp; Implementation</w:t>
            </w:r>
          </w:p>
        </w:tc>
        <w:tc>
          <w:tcPr/>
          <w:p>
            <w:pPr>
              <w:pStyle w:val="Compact"/>
              <w:jc w:val="left"/>
            </w:pPr>
            <w:r>
              <w:t xml:space="preserve">1-4</w:t>
            </w:r>
          </w:p>
        </w:tc>
        <w:tc>
          <w:tcPr/>
          <w:p>
            <w:pPr>
              <w:pStyle w:val="Compact"/>
              <w:jc w:val="left"/>
            </w:pPr>
            <w:r>
              <w:t xml:space="preserve">450,000</w:t>
            </w:r>
          </w:p>
        </w:tc>
      </w:tr>
      <w:tr>
        <w:tc>
          <w:tcPr/>
          <w:p>
            <w:pPr>
              <w:pStyle w:val="Compact"/>
              <w:jc w:val="left"/>
            </w:pPr>
            <w:r>
              <w:t xml:space="preserve">Phase 2: Qualitative Research &amp; Analysis</w:t>
            </w:r>
          </w:p>
        </w:tc>
        <w:tc>
          <w:tcPr/>
          <w:p>
            <w:pPr>
              <w:pStyle w:val="Compact"/>
              <w:jc w:val="left"/>
            </w:pPr>
            <w:r>
              <w:t xml:space="preserve">5-10</w:t>
            </w:r>
          </w:p>
        </w:tc>
        <w:tc>
          <w:tcPr/>
          <w:p>
            <w:pPr>
              <w:pStyle w:val="Compact"/>
              <w:jc w:val="left"/>
            </w:pPr>
            <w:r>
              <w:t xml:space="preserve">680,000</w:t>
            </w:r>
          </w:p>
        </w:tc>
      </w:tr>
      <w:tr>
        <w:tc>
          <w:tcPr/>
          <w:p>
            <w:pPr>
              <w:pStyle w:val="Compact"/>
              <w:jc w:val="left"/>
            </w:pPr>
            <w:r>
              <w:t xml:space="preserve">Phase 3: Intervention Development &amp; Pilot</w:t>
            </w:r>
          </w:p>
        </w:tc>
        <w:tc>
          <w:tcPr/>
          <w:p>
            <w:pPr>
              <w:pStyle w:val="Compact"/>
              <w:jc w:val="left"/>
            </w:pPr>
            <w:r>
              <w:t xml:space="preserve">11-15</w:t>
            </w:r>
          </w:p>
        </w:tc>
        <w:tc>
          <w:tcPr/>
          <w:p>
            <w:pPr>
              <w:pStyle w:val="Compact"/>
              <w:jc w:val="left"/>
            </w:pPr>
            <w:r>
              <w:t xml:space="preserve">925,000</w:t>
            </w:r>
          </w:p>
        </w:tc>
      </w:tr>
      <w:tr>
        <w:tc>
          <w:tcPr/>
          <w:p>
            <w:pPr>
              <w:pStyle w:val="Compact"/>
              <w:jc w:val="left"/>
            </w:pPr>
            <w:r>
              <w:t xml:space="preserve">Phase 4: Dissemination &amp; Policy Integration</w:t>
            </w:r>
          </w:p>
        </w:tc>
        <w:tc>
          <w:tcPr/>
          <w:p>
            <w:pPr>
              <w:pStyle w:val="Compact"/>
              <w:jc w:val="left"/>
            </w:pPr>
            <w:r>
              <w:t xml:space="preserve">16-18</w:t>
            </w:r>
          </w:p>
        </w:tc>
        <w:tc>
          <w:tcPr/>
          <w:p>
            <w:pPr>
              <w:pStyle w:val="Compact"/>
              <w:jc w:val="left"/>
            </w:pPr>
            <w:r>
              <w:t xml:space="preserve">345,000</w:t>
            </w:r>
          </w:p>
        </w:tc>
      </w:tr>
      <w:tr>
        <w:tc>
          <w:tcPr/>
          <w:p>
            <w:pPr>
              <w:pStyle w:val="Compact"/>
              <w:jc w:val="left"/>
            </w:pPr>
            <w:r>
              <w:t xml:space="preserve">Total</w:t>
            </w:r>
          </w:p>
        </w:tc>
        <w:tc>
          <w:tcPr>
            <w:gridSpan w:val="2"/>
          </w:tcPr>
          <w:p>
            <w:pPr>
              <w:pStyle w:val="Compact"/>
              <w:jc w:val="left"/>
            </w:pPr>
            <w:r>
              <w:t xml:space="preserve">2,400,000 RUB (≈$32,567 USD)</w:t>
            </w:r>
          </w:p>
        </w:tc>
      </w:tr>
    </w:tbl>
    <w:bookmarkEnd w:id="26"/>
    <w:bookmarkStart w:id="27" w:name="conclusion"/>
    <w:p>
      <w:pPr>
        <w:pStyle w:val="Heading2"/>
      </w:pPr>
      <w:r>
        <w:t xml:space="preserve">8. Conclusion</w:t>
      </w:r>
    </w:p>
    <w:p>
      <w:pPr>
        <w:pStyle w:val="FirstParagraph"/>
      </w:pPr>
      <w:r>
        <w:t xml:space="preserve">As Russia advances its inclusive education agenda, the success of every child in Moscow's classrooms hinges on the professional capacity of the Special Education Teacher. This Research Proposal establishes a rigorous, context-sensitive pathway to bridge critical practice gaps within</w:t>
      </w:r>
      <w:r>
        <w:t xml:space="preserve"> </w:t>
      </w:r>
      <w:r>
        <w:rPr>
          <w:bCs/>
          <w:b/>
        </w:rPr>
        <w:t xml:space="preserve">Russia Moscow</w:t>
      </w:r>
      <w:r>
        <w:t xml:space="preserve">'s educational ecosystem. By centering teachers' lived experiences and co-designing solutions with local stakeholders, this project moves beyond theoretical frameworks to deliver actionable change. The outcomes will not only elevate the profession of Special Education Teacher in one of Russia's most complex urban education systems but also provide a replicable model for inclusive education transformation across the nation. In fulfilling Russia's constitutional commitment to "equal opportunities for all citizens" (Article 45), this research represents an essential investment in human capital—proving that when Moscow invests in its Special Education Teachers, it invests in the future of every child.</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Special Education Teacher Competencies in Russia Moscow</dc:title>
  <dc:creator/>
  <dc:language>en</dc:language>
  <cp:keywords/>
  <dcterms:created xsi:type="dcterms:W3CDTF">2026-07-23T14:31:01Z</dcterms:created>
  <dcterms:modified xsi:type="dcterms:W3CDTF">2026-07-23T14:31:01Z</dcterms:modified>
</cp:coreProperties>
</file>

<file path=docProps/custom.xml><?xml version="1.0" encoding="utf-8"?>
<Properties xmlns="http://schemas.openxmlformats.org/officeDocument/2006/custom-properties" xmlns:vt="http://schemas.openxmlformats.org/officeDocument/2006/docPropsVTypes"/>
</file>