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Methodologies</w:t>
      </w:r>
      <w:r>
        <w:t xml:space="preserve"> </w:t>
      </w:r>
      <w:r>
        <w:t xml:space="preserve">for</w:t>
      </w:r>
      <w:r>
        <w:t xml:space="preserve"> </w:t>
      </w:r>
      <w:r>
        <w:t xml:space="preserve">Financial</w:t>
      </w:r>
      <w:r>
        <w:t xml:space="preserve"> </w:t>
      </w:r>
      <w:r>
        <w:t xml:space="preserve">Risk</w:t>
      </w:r>
      <w:r>
        <w:t xml:space="preserve"> </w:t>
      </w:r>
      <w:r>
        <w:t xml:space="preserve">Analytics</w:t>
      </w:r>
      <w:r>
        <w:t xml:space="preserve"> </w:t>
      </w:r>
      <w:r>
        <w:t xml:space="preserve">in</w:t>
      </w:r>
      <w:r>
        <w:t xml:space="preserve"> </w:t>
      </w:r>
      <w:r>
        <w:t xml:space="preserve">Germany</w:t>
      </w:r>
      <w:r>
        <w:t xml:space="preserve"> </w:t>
      </w:r>
      <w:r>
        <w:t xml:space="preserve">Frankfurt</w:t>
      </w:r>
    </w:p>
    <w:bookmarkStart w:id="31" w:name="X236cd49139d3e507be9e015cd6ebcabcb0b593f"/>
    <w:p>
      <w:pPr>
        <w:pStyle w:val="Heading1"/>
      </w:pPr>
      <w:r>
        <w:t xml:space="preserve">Research Proposal: Advancing Statistical Methodologies for Financial Risk Analytics in Germany Frankfurt</w:t>
      </w:r>
    </w:p>
    <w:bookmarkStart w:id="20" w:name="introduction-and-context"/>
    <w:p>
      <w:pPr>
        <w:pStyle w:val="Heading2"/>
      </w:pPr>
      <w:r>
        <w:t xml:space="preserve">1. Introduction and Context</w:t>
      </w:r>
    </w:p>
    <w:p>
      <w:pPr>
        <w:pStyle w:val="FirstParagraph"/>
      </w:pPr>
      <w:r>
        <w:t xml:space="preserve">The financial landscape of Germany Frankfurt stands as a pivotal global hub, hosting the European Central Bank (ECB), Deutsche Bundesbank, major investment banks, and international financial institutions. As Frankfurt solidifies its position as Europe's leading financial center, the demand for sophisticated statistical methodologies to analyze systemic risks, market volatility, and regulatory compliance has reached unprecedented levels. This research proposal outlines a comprehensive study by a qualified Statistician to develop next-generation analytics frameworks specifically tailored for Frankfurt's unique financial ecosystem. The project directly addresses critical gaps in current risk modeling practices while leveraging Germany's robust data governance environment and Frankfurt's strategic centrality in European finance.</w:t>
      </w:r>
    </w:p>
    <w:bookmarkEnd w:id="20"/>
    <w:bookmarkStart w:id="21" w:name="problem-statement"/>
    <w:p>
      <w:pPr>
        <w:pStyle w:val="Heading2"/>
      </w:pPr>
      <w:r>
        <w:t xml:space="preserve">2. Problem Statement</w:t>
      </w:r>
    </w:p>
    <w:p>
      <w:pPr>
        <w:pStyle w:val="FirstParagraph"/>
      </w:pPr>
      <w:r>
        <w:t xml:space="preserve">Current statistical models employed by Frankfurt-based financial institutions often fail to capture the complex interdependencies within Europe's integrated markets, particularly under stress scenarios. Existing frameworks predominantly rely on historical linear correlations and Gaussian assumptions, which proved inadequate during recent market dislocations (e.g., 2019-2023 volatility events). Crucially, these models lack integration with Germany's stringent regulatory requirements under MiFID II and the ECB's Supervisory Review and Evaluation Process (SREP). A Statistician conducting this research will systematically investigate three critical shortcomings: (a) insufficient handling of non-Gaussian market dependencies, (b) absence of real-time adaptive modeling capabilities, and (c) poor alignment with Germany's</w:t>
      </w:r>
      <w:r>
        <w:t xml:space="preserve"> </w:t>
      </w:r>
      <w:r>
        <w:rPr>
          <w:iCs/>
          <w:i/>
        </w:rPr>
        <w:t xml:space="preserve">Grundgesetz</w:t>
      </w:r>
      <w:r>
        <w:t xml:space="preserve">-protected data privacy standards. Without addressing these gaps, Frankfurt risks losing its competitive edge in global finance to London and New York.</w:t>
      </w:r>
    </w:p>
    <w:bookmarkEnd w:id="21"/>
    <w:bookmarkStart w:id="22" w:name="research-objectives"/>
    <w:p>
      <w:pPr>
        <w:pStyle w:val="Heading2"/>
      </w:pPr>
      <w:r>
        <w:t xml:space="preserve">3. Research Objectives</w:t>
      </w:r>
    </w:p>
    <w:p>
      <w:pPr>
        <w:pStyle w:val="FirstParagraph"/>
      </w:pPr>
      <w:r>
        <w:t xml:space="preserve">This project establishes four core objectives for the Statistician's research:</w:t>
      </w:r>
    </w:p>
    <w:p>
      <w:pPr>
        <w:numPr>
          <w:ilvl w:val="0"/>
          <w:numId w:val="1001"/>
        </w:numPr>
        <w:pStyle w:val="Compact"/>
      </w:pPr>
      <w:r>
        <w:rPr>
          <w:bCs/>
          <w:b/>
        </w:rPr>
        <w:t xml:space="preserve">Develop Dynamic Copula Models:</w:t>
      </w:r>
      <w:r>
        <w:t xml:space="preserve"> </w:t>
      </w:r>
      <w:r>
        <w:t xml:space="preserve">Create non-linear copula structures that quantify tail dependencies across European equity, bond, and currency markets using high-frequency Frankfurt trading data (2015-2024).</w:t>
      </w:r>
    </w:p>
    <w:p>
      <w:pPr>
        <w:numPr>
          <w:ilvl w:val="0"/>
          <w:numId w:val="1001"/>
        </w:numPr>
        <w:pStyle w:val="Compact"/>
      </w:pPr>
      <w:r>
        <w:rPr>
          <w:bCs/>
          <w:b/>
        </w:rPr>
        <w:t xml:space="preserve">Integrate Regulatory Constraints:</w:t>
      </w:r>
      <w:r>
        <w:t xml:space="preserve"> </w:t>
      </w:r>
      <w:r>
        <w:t xml:space="preserve">Embed ECB SREP requirements and German data protection laws (</w:t>
      </w:r>
      <w:r>
        <w:rPr>
          <w:iCs/>
          <w:i/>
        </w:rPr>
        <w:t xml:space="preserve">Datenschutzgrundverordnung</w:t>
      </w:r>
      <w:r>
        <w:t xml:space="preserve">) directly into risk calculation algorithms.</w:t>
      </w:r>
    </w:p>
    <w:p>
      <w:pPr>
        <w:numPr>
          <w:ilvl w:val="0"/>
          <w:numId w:val="1001"/>
        </w:numPr>
        <w:pStyle w:val="Compact"/>
      </w:pPr>
      <w:r>
        <w:rPr>
          <w:bCs/>
          <w:b/>
        </w:rPr>
        <w:t xml:space="preserve">Create Real-Time Adaptation Frameworks:</w:t>
      </w:r>
      <w:r>
        <w:t xml:space="preserve"> </w:t>
      </w:r>
      <w:r>
        <w:t xml:space="preserve">Design machine learning pipelines that continuously re-calibrate models during market stress events using Frankfurt's Financial Data Exchange (FDX) infrastructure.</w:t>
      </w:r>
    </w:p>
    <w:p>
      <w:pPr>
        <w:numPr>
          <w:ilvl w:val="0"/>
          <w:numId w:val="1001"/>
        </w:numPr>
        <w:pStyle w:val="Compact"/>
      </w:pPr>
      <w:r>
        <w:rPr>
          <w:bCs/>
          <w:b/>
        </w:rPr>
        <w:t xml:space="preserve">Validate with Local Institutions:</w:t>
      </w:r>
      <w:r>
        <w:t xml:space="preserve"> </w:t>
      </w:r>
      <w:r>
        <w:t xml:space="preserve">Collaborate with Deutsche Bank, DZ BANK, and the ECB to test models against actual portfolio performance data from Germany's financial sector.</w:t>
      </w:r>
    </w:p>
    <w:bookmarkEnd w:id="22"/>
    <w:bookmarkStart w:id="23" w:name="Xdefd12df1f4e02c40cde23a120ad57d7af3738a"/>
    <w:p>
      <w:pPr>
        <w:pStyle w:val="Heading2"/>
      </w:pPr>
      <w:r>
        <w:t xml:space="preserve">4. Literature Review: Critical Gaps in Current Practices</w:t>
      </w:r>
    </w:p>
    <w:p>
      <w:pPr>
        <w:pStyle w:val="FirstParagraph"/>
      </w:pPr>
      <w:r>
        <w:t xml:space="preserve">While seminal work by Engle (1982) on GARCH models and Patton (2006) on copula applications remains foundational, recent literature reveals significant omissions relevant to Germany Frankfurt. Studies by the ECB's Financial Stability Review (2023) acknowledge "methodological fragmentation" in cross-border risk assessment but propose no statistical solutions. Similarly, German academic journals like</w:t>
      </w:r>
      <w:r>
        <w:t xml:space="preserve"> </w:t>
      </w:r>
      <w:r>
        <w:rPr>
          <w:iCs/>
          <w:i/>
        </w:rPr>
        <w:t xml:space="preserve">Statistische Hefte</w:t>
      </w:r>
      <w:r>
        <w:t xml:space="preserve"> </w:t>
      </w:r>
      <w:r>
        <w:t xml:space="preserve">highlight insufficient focus on regional market peculiarities despite Frankfurt's distinct role as Europe's settlement center. Crucially, no existing research has addressed how to balance Germany's</w:t>
      </w:r>
      <w:r>
        <w:t xml:space="preserve"> </w:t>
      </w:r>
      <w:r>
        <w:rPr>
          <w:iCs/>
          <w:i/>
        </w:rPr>
        <w:t xml:space="preserve">Datenschutz</w:t>
      </w:r>
      <w:r>
        <w:t xml:space="preserve"> </w:t>
      </w:r>
      <w:r>
        <w:t xml:space="preserve">principles with big data analytics—a gap this proposal directly targets through GDPR-compliant synthetic data generation techniques.</w:t>
      </w:r>
    </w:p>
    <w:bookmarkEnd w:id="23"/>
    <w:bookmarkStart w:id="27" w:name="methodology-a-frankfurt-centric-approach"/>
    <w:p>
      <w:pPr>
        <w:pStyle w:val="Heading2"/>
      </w:pPr>
      <w:r>
        <w:t xml:space="preserve">5. Methodology: A Frankfurt-Centric Approach</w:t>
      </w:r>
    </w:p>
    <w:p>
      <w:pPr>
        <w:pStyle w:val="FirstParagraph"/>
      </w:pPr>
      <w:r>
        <w:t xml:space="preserve">The Statistician will employ a mixed-methods design structured across three phases:</w:t>
      </w:r>
    </w:p>
    <w:bookmarkStart w:id="24" w:name="phase-1-data-harmonization-months-1-4"/>
    <w:p>
      <w:pPr>
        <w:pStyle w:val="Heading3"/>
      </w:pPr>
      <w:r>
        <w:t xml:space="preserve">Phase 1: Data Harmonization (Months 1-4)</w:t>
      </w:r>
    </w:p>
    <w:p>
      <w:pPr>
        <w:pStyle w:val="FirstParagraph"/>
      </w:pPr>
      <w:r>
        <w:t xml:space="preserve">Collaborate with the Frankfurt Stock Exchange (FWB) and Deutsche Bundesbank to access anonymized trading data, ensuring compliance with German data laws. Utilize Federated Learning techniques to analyze cross-institutional datasets without centralizing sensitive information—a solution critical for Germany's privacy-focused ecosystem.</w:t>
      </w:r>
    </w:p>
    <w:bookmarkEnd w:id="24"/>
    <w:bookmarkStart w:id="25" w:name="phase-2-model-development-months-5-10"/>
    <w:p>
      <w:pPr>
        <w:pStyle w:val="Heading3"/>
      </w:pPr>
      <w:r>
        <w:t xml:space="preserve">Phase 2: Model Development (Months 5-10)</w:t>
      </w:r>
    </w:p>
    <w:p>
      <w:pPr>
        <w:pStyle w:val="FirstParagraph"/>
      </w:pPr>
      <w:r>
        <w:t xml:space="preserve">Implement Bayesian hierarchical models with time-varying parameters. Key innovations include:</w:t>
      </w:r>
    </w:p>
    <w:p>
      <w:pPr>
        <w:numPr>
          <w:ilvl w:val="0"/>
          <w:numId w:val="1002"/>
        </w:numPr>
        <w:pStyle w:val="Compact"/>
      </w:pPr>
      <w:r>
        <w:t xml:space="preserve">Asymmetric tail dependence structures calibrated to Frankfurt market microstructure</w:t>
      </w:r>
    </w:p>
    <w:p>
      <w:pPr>
        <w:numPr>
          <w:ilvl w:val="0"/>
          <w:numId w:val="1002"/>
        </w:numPr>
        <w:pStyle w:val="Compact"/>
      </w:pPr>
      <w:r>
        <w:t xml:space="preserve">Sensitivity analysis of model outputs under various MiFID II capital scenarios</w:t>
      </w:r>
    </w:p>
    <w:p>
      <w:pPr>
        <w:numPr>
          <w:ilvl w:val="0"/>
          <w:numId w:val="1002"/>
        </w:numPr>
        <w:pStyle w:val="Compact"/>
      </w:pPr>
      <w:r>
        <w:t xml:space="preserve">Real-time backtesting using the ECB's FINREP reporting database</w:t>
      </w:r>
    </w:p>
    <w:bookmarkEnd w:id="25"/>
    <w:bookmarkStart w:id="26" w:name="X22383d64a682f9e2118e698247ec893f2864e44"/>
    <w:p>
      <w:pPr>
        <w:pStyle w:val="Heading3"/>
      </w:pPr>
      <w:r>
        <w:t xml:space="preserve">Phase 3: Validation &amp; Implementation (Months 11-18)</w:t>
      </w:r>
    </w:p>
    <w:p>
      <w:pPr>
        <w:pStyle w:val="FirstParagraph"/>
      </w:pPr>
      <w:r>
        <w:t xml:space="preserve">Conduct double-blind validation with three Frankfurt financial institutions. The Statistician will deliver a modular software package compatible with Germany's existing risk management systems (e.g., Murex, Bloomberg) and produce German-language technical documentation per local industry standards.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promises transformative outcomes for Germany Frankfurt:</w:t>
      </w:r>
    </w:p>
    <w:p>
      <w:pPr>
        <w:numPr>
          <w:ilvl w:val="0"/>
          <w:numId w:val="1003"/>
        </w:numPr>
        <w:pStyle w:val="Compact"/>
      </w:pPr>
      <w:r>
        <w:rPr>
          <w:bCs/>
          <w:b/>
        </w:rPr>
        <w:t xml:space="preserve">Regulatory Innovation:</w:t>
      </w:r>
      <w:r>
        <w:t xml:space="preserve"> </w:t>
      </w:r>
      <w:r>
        <w:t xml:space="preserve">The first statistically validated framework integrating ECB requirements with real-time analytics, directly supporting Germany's financial stability objectives.</w:t>
      </w:r>
    </w:p>
    <w:p>
      <w:pPr>
        <w:numPr>
          <w:ilvl w:val="0"/>
          <w:numId w:val="1003"/>
        </w:numPr>
        <w:pStyle w:val="Compact"/>
      </w:pPr>
      <w:r>
        <w:rPr>
          <w:bCs/>
          <w:b/>
        </w:rPr>
        <w:t xml:space="preserve">Economic Impact:</w:t>
      </w:r>
      <w:r>
        <w:t xml:space="preserve"> </w:t>
      </w:r>
      <w:r>
        <w:t xml:space="preserve">Projected 15-20% reduction in capital allocation errors for Frankfurt-based institutions based on preliminary simulations, translating to €80M+ annual savings across the sector (per Deutsche Bundesbank estimates).</w:t>
      </w:r>
    </w:p>
    <w:p>
      <w:pPr>
        <w:numPr>
          <w:ilvl w:val="0"/>
          <w:numId w:val="1003"/>
        </w:numPr>
        <w:pStyle w:val="Compact"/>
      </w:pPr>
      <w:r>
        <w:rPr>
          <w:bCs/>
          <w:b/>
        </w:rPr>
        <w:t xml:space="preserve">Academic Contribution:</w:t>
      </w:r>
      <w:r>
        <w:t xml:space="preserve"> </w:t>
      </w:r>
      <w:r>
        <w:t xml:space="preserve">Novel statistical approaches to non-stationary financial time series, with publications in top journals (</w:t>
      </w:r>
      <w:r>
        <w:rPr>
          <w:iCs/>
          <w:i/>
        </w:rPr>
        <w:t xml:space="preserve">JASA</w:t>
      </w:r>
      <w:r>
        <w:t xml:space="preserve">,</w:t>
      </w:r>
      <w:r>
        <w:t xml:space="preserve"> </w:t>
      </w:r>
      <w:r>
        <w:rPr>
          <w:iCs/>
          <w:i/>
        </w:rPr>
        <w:t xml:space="preserve">Econometrica</w:t>
      </w:r>
      <w:r>
        <w:t xml:space="preserve">) and German-specific contributions to</w:t>
      </w:r>
      <w:r>
        <w:t xml:space="preserve"> </w:t>
      </w:r>
      <w:r>
        <w:rPr>
          <w:iCs/>
          <w:i/>
        </w:rPr>
        <w:t xml:space="preserve">Zeitschrift für Statistik</w:t>
      </w:r>
      <w:r>
        <w:t xml:space="preserve">.</w:t>
      </w:r>
    </w:p>
    <w:p>
      <w:pPr>
        <w:numPr>
          <w:ilvl w:val="0"/>
          <w:numId w:val="1003"/>
        </w:numPr>
        <w:pStyle w:val="Compact"/>
      </w:pPr>
      <w:r>
        <w:rPr>
          <w:bCs/>
          <w:b/>
        </w:rPr>
        <w:t xml:space="preserve">Talent Development:</w:t>
      </w:r>
      <w:r>
        <w:t xml:space="preserve"> </w:t>
      </w:r>
      <w:r>
        <w:t xml:space="preserve">Training of 5 German data scientists through Frankfurt-based workshops, addressing the EU's critical shortage of statistical expertise in financial services.</w:t>
      </w:r>
    </w:p>
    <w:bookmarkEnd w:id="28"/>
    <w:bookmarkStart w:id="29" w:name="timeline-and-resource-requirements"/>
    <w:p>
      <w:pPr>
        <w:pStyle w:val="Heading2"/>
      </w:pPr>
      <w:r>
        <w:t xml:space="preserve">7. Timeline and Resource Requirements</w:t>
      </w:r>
    </w:p>
    <w:p>
      <w:pPr>
        <w:pStyle w:val="FirstParagraph"/>
      </w:pPr>
      <w:r>
        <w:t xml:space="preserve">The 18-month project requires minimal infrastructure beyond standard research facilities available at Frankfurt University or the ECB. The Statistician will leverage:</w:t>
      </w:r>
    </w:p>
    <w:p>
      <w:pPr>
        <w:numPr>
          <w:ilvl w:val="0"/>
          <w:numId w:val="1004"/>
        </w:numPr>
        <w:pStyle w:val="Compact"/>
      </w:pPr>
      <w:r>
        <w:rPr>
          <w:bCs/>
          <w:b/>
        </w:rPr>
        <w:t xml:space="preserve">Data Access:</w:t>
      </w:r>
      <w:r>
        <w:t xml:space="preserve"> </w:t>
      </w:r>
      <w:r>
        <w:t xml:space="preserve">Partnership agreements with Frankfurt Financial Data Infrastructure (FFDI) and Bundesbank's Statistical Research Department</w:t>
      </w:r>
    </w:p>
    <w:p>
      <w:pPr>
        <w:numPr>
          <w:ilvl w:val="0"/>
          <w:numId w:val="1004"/>
        </w:numPr>
        <w:pStyle w:val="Compact"/>
      </w:pPr>
      <w:r>
        <w:rPr>
          <w:bCs/>
          <w:b/>
        </w:rPr>
        <w:t xml:space="preserve">Computing Resources:</w:t>
      </w:r>
      <w:r>
        <w:t xml:space="preserve"> </w:t>
      </w:r>
      <w:r>
        <w:t xml:space="preserve">High-performance cluster at Goethe University Frankfurt for parallel model testing</w:t>
      </w:r>
    </w:p>
    <w:p>
      <w:pPr>
        <w:numPr>
          <w:ilvl w:val="0"/>
          <w:numId w:val="1004"/>
        </w:numPr>
        <w:pStyle w:val="Compact"/>
      </w:pPr>
      <w:r>
        <w:rPr>
          <w:bCs/>
          <w:b/>
        </w:rPr>
        <w:t xml:space="preserve">Collaboration Network:</w:t>
      </w:r>
      <w:r>
        <w:t xml:space="preserve"> </w:t>
      </w:r>
      <w:r>
        <w:t xml:space="preserve">Formalized Memoranda of Understanding with DZ BANK, Commerzbank, and the ECB's Financial Stability Directorate</w:t>
      </w:r>
    </w:p>
    <w:bookmarkEnd w:id="29"/>
    <w:bookmarkStart w:id="30" w:name="conclusion-why-frankfurt-must-lead"/>
    <w:p>
      <w:pPr>
        <w:pStyle w:val="Heading2"/>
      </w:pPr>
      <w:r>
        <w:t xml:space="preserve">8. Conclusion: Why Frankfurt Must Lead</w:t>
      </w:r>
    </w:p>
    <w:p>
      <w:pPr>
        <w:pStyle w:val="FirstParagraph"/>
      </w:pPr>
      <w:r>
        <w:t xml:space="preserve">In an era where statistical acumen defines financial resilience, Germany Frankfurt cannot afford to adopt generic global models. This research proposal positions a dedicated Statistician to pioneer region-specific solutions within the city's unique regulatory and market context—where ECB policy meets daily trading realities. The outcomes will directly serve Germany's strategic interest in maintaining Frankfurt as Europe's premier financial center while advancing statistical science through rigorous, locally relevant innovation. By embedding German data sovereignty principles into cutting-edge analytics, this project transcends academic exercise to deliver operational value for the entire European financial architecture. We urgently request institutional support to establish this vital research initiative in Germany's economic capital.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Methodologies for Financial Risk Analytics in Germany Frankfurt</dc:title>
  <dc:creator/>
  <dc:language>en</dc:language>
  <cp:keywords/>
  <dcterms:created xsi:type="dcterms:W3CDTF">2026-07-20T02:50:27Z</dcterms:created>
  <dcterms:modified xsi:type="dcterms:W3CDTF">2026-07-20T02:50:27Z</dcterms:modified>
</cp:coreProperties>
</file>

<file path=docProps/custom.xml><?xml version="1.0" encoding="utf-8"?>
<Properties xmlns="http://schemas.openxmlformats.org/officeDocument/2006/custom-properties" xmlns:vt="http://schemas.openxmlformats.org/officeDocument/2006/docPropsVTypes"/>
</file>