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9" w:name="Xb74ac9c13d627a7ceadd55adf86a45cfa6707bb"/>
    <w:p>
      <w:pPr>
        <w:pStyle w:val="Heading1"/>
      </w:pPr>
      <w:r>
        <w:t xml:space="preserve">Research Proposal: Optimizing Multidisciplinary Surgical Care Delivery for Improved Patient Outcomes in Melbourne, Australia</w:t>
      </w:r>
    </w:p>
    <w:bookmarkStart w:id="20" w:name="introduction"/>
    <w:p>
      <w:pPr>
        <w:pStyle w:val="Heading2"/>
      </w:pPr>
      <w:r>
        <w:t xml:space="preserve">1. Introduction</w:t>
      </w:r>
    </w:p>
    <w:p>
      <w:pPr>
        <w:pStyle w:val="FirstParagraph"/>
      </w:pPr>
      <w:r>
        <w:t xml:space="preserve">The evolving landscape of surgical healthcare in metropolitan centres like Melbourne demands innovative approaches to address rising patient volumes, complex comorbidities, and resource constraints. This</w:t>
      </w:r>
      <w:r>
        <w:t xml:space="preserve"> </w:t>
      </w:r>
      <w:r>
        <w:rPr>
          <w:iCs/>
          <w:i/>
        </w:rPr>
        <w:t xml:space="preserve">Research Proposal</w:t>
      </w:r>
      <w:r>
        <w:t xml:space="preserve"> </w:t>
      </w:r>
      <w:r>
        <w:t xml:space="preserve">addresses a critical gap in contemporary surgical practice by investigating how integrated multidisciplinary care models can enhance outcomes for patients undergoing major procedures within the Victorian healthcare ecosystem. As Australia's most populous city with over 5 million residents, Melbourne faces unique challenges including geographic diversity in service provision, an aging population, and increasing demand for specialized surgical interventions. The role of the modern</w:t>
      </w:r>
      <w:r>
        <w:t xml:space="preserve"> </w:t>
      </w:r>
      <w:r>
        <w:rPr>
          <w:iCs/>
          <w:i/>
        </w:rPr>
        <w:t xml:space="preserve">Surgeon</w:t>
      </w:r>
      <w:r>
        <w:t xml:space="preserve"> </w:t>
      </w:r>
      <w:r>
        <w:t xml:space="preserve">extends beyond technical skill to encompass leadership in coordinated care teams – a competency increasingly vital for sustainable healthcare delivery across</w:t>
      </w:r>
      <w:r>
        <w:t xml:space="preserve"> </w:t>
      </w:r>
      <w:r>
        <w:rPr>
          <w:iCs/>
          <w:i/>
        </w:rPr>
        <w:t xml:space="preserve">Australia Melbourne</w:t>
      </w:r>
      <w:r>
        <w:t xml:space="preserve">.</w:t>
      </w:r>
    </w:p>
    <w:bookmarkEnd w:id="20"/>
    <w:bookmarkStart w:id="21" w:name="problem-statement-and-rationale"/>
    <w:p>
      <w:pPr>
        <w:pStyle w:val="Heading2"/>
      </w:pPr>
      <w:r>
        <w:t xml:space="preserve">2. Problem Statement and Rationale</w:t>
      </w:r>
    </w:p>
    <w:p>
      <w:pPr>
        <w:pStyle w:val="FirstParagraph"/>
      </w:pPr>
      <w:r>
        <w:t xml:space="preserve">Melbourne's public hospitals report escalating surgical wait times (averaging 14 weeks for non-urgent procedures) and variable postoperative complication rates, particularly among elderly patients with multiple chronic conditions. Current models often operate in silos, with limited communication between surgeons, anesthesiologists, physiotherapists, and social workers. This fragmentation directly impacts patient recovery trajectories and hospital resource utilization. A recent Royal Australasian College of Surgeons (RACS) audit identified that 32% of preventable postoperative complications in Victorian hospitals stemmed from poor interprofessional coordination – not surgical technique alone. This</w:t>
      </w:r>
      <w:r>
        <w:t xml:space="preserve"> </w:t>
      </w:r>
      <w:r>
        <w:rPr>
          <w:iCs/>
          <w:i/>
        </w:rPr>
        <w:t xml:space="preserve">Research Proposal</w:t>
      </w:r>
      <w:r>
        <w:t xml:space="preserve"> </w:t>
      </w:r>
      <w:r>
        <w:t xml:space="preserve">argues that reimagining the</w:t>
      </w:r>
      <w:r>
        <w:t xml:space="preserve"> </w:t>
      </w:r>
      <w:r>
        <w:rPr>
          <w:iCs/>
          <w:i/>
        </w:rPr>
        <w:t xml:space="preserve">Surgeon</w:t>
      </w:r>
      <w:r>
        <w:t xml:space="preserve">'s role as a care coordinator, rather than solely an operator, is essential for optimizing outcomes in Australia's most complex urban healthcare setting.</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surgeon-led multidisciplinary teams (MDTs) on postoperative complication rates and hospital readmissions across three major Melbourne public hospitals over a 12-month period.</w:t>
      </w:r>
    </w:p>
    <w:p>
      <w:pPr>
        <w:numPr>
          <w:ilvl w:val="0"/>
          <w:numId w:val="1001"/>
        </w:numPr>
        <w:pStyle w:val="Compact"/>
      </w:pPr>
      <w:r>
        <w:t xml:space="preserve">To identify specific communication protocols that most effectively reduce decision-making delays in complex surgical cases within</w:t>
      </w:r>
      <w:r>
        <w:t xml:space="preserve"> </w:t>
      </w:r>
      <w:r>
        <w:rPr>
          <w:iCs/>
          <w:i/>
        </w:rPr>
        <w:t xml:space="preserve">Australia Melbourne</w:t>
      </w:r>
      <w:r>
        <w:t xml:space="preserve">'s healthcare infrastructure.</w:t>
      </w:r>
    </w:p>
    <w:p>
      <w:pPr>
        <w:numPr>
          <w:ilvl w:val="0"/>
          <w:numId w:val="1001"/>
        </w:numPr>
        <w:pStyle w:val="Compact"/>
      </w:pPr>
      <w:r>
        <w:t xml:space="preserve">To develop a scalable framework for integrating geriatric assessments and social determinants of health into preoperative planning, addressing Melbourne's demographic realities.</w:t>
      </w:r>
    </w:p>
    <w:p>
      <w:pPr>
        <w:numPr>
          <w:ilvl w:val="0"/>
          <w:numId w:val="1001"/>
        </w:numPr>
        <w:pStyle w:val="Compact"/>
      </w:pPr>
      <w:r>
        <w:t xml:space="preserve">To quantify cost-benefit implications of implementing such models for the Victorian Department of Health, using data from Melbourne's tertiary referral centres.</w:t>
      </w:r>
    </w:p>
    <w:bookmarkEnd w:id="22"/>
    <w:bookmarkStart w:id="23" w:name="methodology"/>
    <w:p>
      <w:pPr>
        <w:pStyle w:val="Heading2"/>
      </w:pPr>
      <w:r>
        <w:t xml:space="preserve">4. Methodology</w:t>
      </w:r>
    </w:p>
    <w:p>
      <w:pPr>
        <w:pStyle w:val="FirstParagraph"/>
      </w:pPr>
      <w:r>
        <w:t xml:space="preserve">This mixed-methods study will employ a quasi-experimental design across three metropolitan hospitals in Melbourne: The Royal Melbourne Hospital, St Vincent's Hospital, and Epworth Freemasons. We will recruit 800 patients undergoing elective major abdominal or orthopedic surgery over 18 months. The intervention group (450 patients) will receive care through surgeon-coordinated MDTs using a newly developed digital workflow platform, while the control group (350 patients) receives standard care.</w:t>
      </w:r>
    </w:p>
    <w:p>
      <w:pPr>
        <w:pStyle w:val="BodyText"/>
      </w:pPr>
      <w:r>
        <w:t xml:space="preserve">Key data collection instruments include:</w:t>
      </w:r>
    </w:p>
    <w:p>
      <w:pPr>
        <w:numPr>
          <w:ilvl w:val="0"/>
          <w:numId w:val="1002"/>
        </w:numPr>
        <w:pStyle w:val="Compact"/>
      </w:pPr>
      <w:r>
        <w:t xml:space="preserve">Electronic health record analysis of complication rates, length of stay, and readmissions</w:t>
      </w:r>
    </w:p>
    <w:p>
      <w:pPr>
        <w:numPr>
          <w:ilvl w:val="0"/>
          <w:numId w:val="1002"/>
        </w:numPr>
        <w:pStyle w:val="Compact"/>
      </w:pPr>
      <w:r>
        <w:t xml:space="preserve">Structured surveys for surgical teams on communication efficiency (using validated RACS assessment tools)</w:t>
      </w:r>
    </w:p>
    <w:p>
      <w:pPr>
        <w:numPr>
          <w:ilvl w:val="0"/>
          <w:numId w:val="1002"/>
        </w:numPr>
        <w:pStyle w:val="Compact"/>
      </w:pPr>
      <w:r>
        <w:t xml:space="preserve">In-depth interviews with 30 surgeons and allied health professionals to explore role adaptation challenges</w:t>
      </w:r>
    </w:p>
    <w:p>
      <w:pPr>
        <w:numPr>
          <w:ilvl w:val="0"/>
          <w:numId w:val="1002"/>
        </w:numPr>
        <w:pStyle w:val="Compact"/>
      </w:pPr>
      <w:r>
        <w:t xml:space="preserve">Financial analysis of resource allocation comparisons between intervention and control groups</w:t>
      </w:r>
    </w:p>
    <w:bookmarkEnd w:id="23"/>
    <w:bookmarkStart w:id="24" w:name="Xf005c5984473186c8a27ab254602e6091a53473"/>
    <w:p>
      <w:pPr>
        <w:pStyle w:val="Heading2"/>
      </w:pPr>
      <w:r>
        <w:t xml:space="preserve">5. Significance for Australia Melbourne Healthcare</w:t>
      </w:r>
    </w:p>
    <w:p>
      <w:pPr>
        <w:pStyle w:val="FirstParagraph"/>
      </w:pPr>
      <w:r>
        <w:t xml:space="preserve">This research directly addresses strategic priorities outlined in Victoria's 2030 Health Infrastructure Plan, which identifies "integrated care models" as critical for managing Melbourne's healthcare demand surge. The findings will provide actionable evidence for the Victorian Department of Health to refine its surgical service guidelines – particularly relevant given that Melbourne hosts 47% of all major public surgical procedures in</w:t>
      </w:r>
      <w:r>
        <w:t xml:space="preserve"> </w:t>
      </w:r>
      <w:r>
        <w:rPr>
          <w:iCs/>
          <w:i/>
        </w:rPr>
        <w:t xml:space="preserve">Australia</w:t>
      </w:r>
      <w:r>
        <w:t xml:space="preserve">. For the individual</w:t>
      </w:r>
      <w:r>
        <w:t xml:space="preserve"> </w:t>
      </w:r>
      <w:r>
        <w:rPr>
          <w:iCs/>
          <w:i/>
        </w:rPr>
        <w:t xml:space="preserve">Surgeon</w:t>
      </w:r>
      <w:r>
        <w:t xml:space="preserve">, this model shifts focus from purely technical excellence to holistic patient journey management, aligning with RACS' "Surgical Care Pathway" framework now endorsed across Australian training programs.</w:t>
      </w:r>
    </w:p>
    <w:p>
      <w:pPr>
        <w:pStyle w:val="BodyText"/>
      </w:pPr>
      <w:r>
        <w:t xml:space="preserve">Crucially, Melbourne's unique context – characterized by high immigrant populations with diverse health literacy levels and significant rural referral patterns – necessitates culturally tailored care coordination. This</w:t>
      </w:r>
      <w:r>
        <w:t xml:space="preserve"> </w:t>
      </w:r>
      <w:r>
        <w:rPr>
          <w:iCs/>
          <w:i/>
        </w:rPr>
        <w:t xml:space="preserve">Research Proposal</w:t>
      </w:r>
      <w:r>
        <w:t xml:space="preserve"> </w:t>
      </w:r>
      <w:r>
        <w:t xml:space="preserve">will explicitly analyze how MDT interventions affect outcomes for CALD (culturally and linguistically diverse) communities, a demographic group comprising 35% of Melbourne's population but often experiencing worse surgical outcomes.</w:t>
      </w:r>
    </w:p>
    <w:bookmarkEnd w:id="24"/>
    <w:bookmarkStart w:id="25" w:name="X87548b8aefd5317ffe804fb0ab26f4dd1bb84c9"/>
    <w:p>
      <w:pPr>
        <w:pStyle w:val="Heading2"/>
      </w:pPr>
      <w:r>
        <w:t xml:space="preserve">6. Expected Outcomes and Dissemination Strategy</w:t>
      </w:r>
    </w:p>
    <w:p>
      <w:pPr>
        <w:pStyle w:val="FirstParagraph"/>
      </w:pPr>
      <w:r>
        <w:t xml:space="preserve">We anticipate the surgeon-led MDT model will reduce complications by 25%, decrease average length of stay by 1.8 days, and improve patient satisfaction scores by 30% compared to standard care. The cost-benefit analysis is projected to demonstrate a $7,200 per-case net savings through reduced complications and streamlined discharge planning – a significant consideration for Melbourne's strained hospital budgets.</w:t>
      </w:r>
    </w:p>
    <w:p>
      <w:pPr>
        <w:pStyle w:val="BodyText"/>
      </w:pPr>
      <w:r>
        <w:t xml:space="preserve">Findings will be disseminated through multiple channels:</w:t>
      </w:r>
    </w:p>
    <w:p>
      <w:pPr>
        <w:numPr>
          <w:ilvl w:val="0"/>
          <w:numId w:val="1003"/>
        </w:numPr>
        <w:pStyle w:val="Compact"/>
      </w:pPr>
      <w:r>
        <w:t xml:space="preserve">Presentation at the 2024 RACS National Congress in Melbourne</w:t>
      </w:r>
    </w:p>
    <w:p>
      <w:pPr>
        <w:numPr>
          <w:ilvl w:val="0"/>
          <w:numId w:val="1003"/>
        </w:numPr>
        <w:pStyle w:val="Compact"/>
      </w:pPr>
      <w:r>
        <w:t xml:space="preserve">Collaboration with Monash University's Centre for Health Systems and Services Research for policy briefs to Victorian Health Minister</w:t>
      </w:r>
    </w:p>
    <w:p>
      <w:pPr>
        <w:numPr>
          <w:ilvl w:val="0"/>
          <w:numId w:val="1003"/>
        </w:numPr>
        <w:pStyle w:val="Compact"/>
      </w:pPr>
      <w:r>
        <w:t xml:space="preserve">Development of a free online toolkit for Australian surgeons via the RACS website</w:t>
      </w:r>
    </w:p>
    <w:p>
      <w:pPr>
        <w:numPr>
          <w:ilvl w:val="0"/>
          <w:numId w:val="1003"/>
        </w:numPr>
        <w:pStyle w:val="Compact"/>
      </w:pPr>
      <w:r>
        <w:t xml:space="preserve">Publishing in high-impact journals (e.g.,</w:t>
      </w:r>
      <w:r>
        <w:t xml:space="preserve"> </w:t>
      </w:r>
      <w:r>
        <w:rPr>
          <w:iCs/>
          <w:i/>
        </w:rPr>
        <w:t xml:space="preserve">Australian and New Zealand Journal of Surgery</w:t>
      </w:r>
      <w:r>
        <w:t xml:space="preserve">) with open access for Melbourne hospital networks</w:t>
      </w:r>
    </w:p>
    <w:bookmarkEnd w:id="25"/>
    <w:bookmarkStart w:id="26" w:name="timeline-and-feasibility-18-month-plan"/>
    <w:p>
      <w:pPr>
        <w:pStyle w:val="Heading2"/>
      </w:pPr>
      <w:r>
        <w:t xml:space="preserve">7. Timeline and Feasibility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RACS ethics clearance; Hospital partnership agreements; Tool development</w:t>
            </w:r>
          </w:p>
        </w:tc>
      </w:tr>
      <w:tr>
        <w:tc>
          <w:tcPr/>
          <w:p>
            <w:pPr>
              <w:pStyle w:val="Compact"/>
              <w:jc w:val="left"/>
            </w:pPr>
            <w:r>
              <w:t xml:space="preserve">Data Collection &amp; Intervention Rollout</w:t>
            </w:r>
          </w:p>
        </w:tc>
        <w:tc>
          <w:tcPr/>
          <w:p>
            <w:pPr>
              <w:pStyle w:val="Compact"/>
              <w:jc w:val="left"/>
            </w:pPr>
            <w:r>
              <w:t xml:space="preserve">Months 4-12</w:t>
            </w:r>
          </w:p>
        </w:tc>
        <w:tc>
          <w:tcPr/>
          <w:p>
            <w:pPr>
              <w:pStyle w:val="Compact"/>
              <w:jc w:val="left"/>
            </w:pPr>
            <w:r>
              <w:t xml:space="preserve">Recruitment completion; MDT protocol implementation across sites; Baseline data collection</w:t>
            </w:r>
          </w:p>
        </w:tc>
      </w:tr>
      <w:tr>
        <w:tc>
          <w:tcPr/>
          <w:p>
            <w:pPr>
              <w:pStyle w:val="Compact"/>
              <w:jc w:val="left"/>
            </w:pPr>
            <w:r>
              <w:t xml:space="preserve">Data Analysis &amp; Drafting</w:t>
            </w:r>
          </w:p>
        </w:tc>
        <w:tc>
          <w:tcPr/>
          <w:p>
            <w:pPr>
              <w:pStyle w:val="Compact"/>
              <w:jc w:val="left"/>
            </w:pPr>
            <w:r>
              <w:t xml:space="preserve">Months 13-16</w:t>
            </w:r>
          </w:p>
        </w:tc>
        <w:tc>
          <w:tcPr/>
          <w:p>
            <w:pPr>
              <w:pStyle w:val="Compact"/>
              <w:jc w:val="left"/>
            </w:pPr>
            <w:r>
              <w:t xml:space="preserve">Statistical analysis; Interview thematic coding; Interim report to Victorian Health Department</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RACS Congress presentation; Final policy briefs; Toolkit launch for Melbourne hospitals</w:t>
            </w:r>
          </w:p>
        </w:tc>
      </w:tr>
    </w:tbl>
    <w:bookmarkEnd w:id="26"/>
    <w:bookmarkStart w:id="28" w:name="conclusion"/>
    <w:p>
      <w:pPr>
        <w:pStyle w:val="Heading2"/>
      </w:pPr>
      <w:r>
        <w:t xml:space="preserve">8. Conclusion</w:t>
      </w:r>
    </w:p>
    <w:p>
      <w:pPr>
        <w:pStyle w:val="FirstParagraph"/>
      </w:pPr>
      <w:r>
        <w:t xml:space="preserve">This comprehensive research represents a pivotal opportunity to redefine surgical leadership in Australia's premier city. As Melbourne continues to grow as Australia's health innovation hub, this</w:t>
      </w:r>
      <w:r>
        <w:t xml:space="preserve"> </w:t>
      </w:r>
      <w:r>
        <w:rPr>
          <w:iCs/>
          <w:i/>
        </w:rPr>
        <w:t xml:space="preserve">Research Proposal</w:t>
      </w:r>
      <w:r>
        <w:t xml:space="preserve"> </w:t>
      </w:r>
      <w:r>
        <w:t xml:space="preserve">offers a practical pathway for the modern</w:t>
      </w:r>
      <w:r>
        <w:t xml:space="preserve"> </w:t>
      </w:r>
      <w:r>
        <w:rPr>
          <w:iCs/>
          <w:i/>
        </w:rPr>
        <w:t xml:space="preserve">Surgeon</w:t>
      </w:r>
      <w:r>
        <w:t xml:space="preserve"> </w:t>
      </w:r>
      <w:r>
        <w:t xml:space="preserve">to transcend traditional technical boundaries and drive systemic improvements that benefit thousands of patients annually across Melbourne and beyond. The outcomes will directly inform how surgical care is delivered not only in Melbourne's hospitals but also across Australia's urban health networks, demonstrating the transformative potential of coordinated care in meeting 21st-century healthcare demands. We seek funding to implement this vital initiative for the future of surgical excellence in</w:t>
      </w:r>
      <w:r>
        <w:t xml:space="preserve"> </w:t>
      </w:r>
      <w:r>
        <w:rPr>
          <w:iCs/>
          <w:i/>
        </w:rPr>
        <w:t xml:space="preserve">Australia Melbourne</w:t>
      </w:r>
      <w:r>
        <w:t xml:space="preserv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Australia Melbourne</dc:title>
  <dc:creator/>
  <dc:language>en</dc:language>
  <cp:keywords/>
  <dcterms:created xsi:type="dcterms:W3CDTF">2026-07-20T01:01:39Z</dcterms:created>
  <dcterms:modified xsi:type="dcterms:W3CDTF">2026-07-20T01:01:39Z</dcterms:modified>
</cp:coreProperties>
</file>

<file path=docProps/custom.xml><?xml version="1.0" encoding="utf-8"?>
<Properties xmlns="http://schemas.openxmlformats.org/officeDocument/2006/custom-properties" xmlns:vt="http://schemas.openxmlformats.org/officeDocument/2006/docPropsVTypes"/>
</file>