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31" w:name="Xda6c1bd4377fececa55aae1bfbc1cf70ce160b1"/>
    <w:p>
      <w:pPr>
        <w:pStyle w:val="Heading1"/>
      </w:pPr>
      <w:r>
        <w:t xml:space="preserve">Research Proposal: Optimizing Surgical Workforce Development and Patient Outcomes for Surgeons in Colombia Medellín</w:t>
      </w:r>
    </w:p>
    <w:bookmarkStart w:id="20" w:name="introduction"/>
    <w:p>
      <w:pPr>
        <w:pStyle w:val="Heading2"/>
      </w:pPr>
      <w:r>
        <w:t xml:space="preserve">1. Introduction</w:t>
      </w:r>
    </w:p>
    <w:p>
      <w:pPr>
        <w:pStyle w:val="FirstParagraph"/>
      </w:pPr>
      <w:r>
        <w:t xml:space="preserve">The healthcare landscape of Colombia Medellín faces critical challenges in surgical care delivery, with significant disparities in access and quality that disproportionately affect vulnerable populations. As a city with over 2.5 million residents and complex urban health needs, Medellín requires innovative solutions to strengthen its surgical ecosystem. This</w:t>
      </w:r>
      <w:r>
        <w:t xml:space="preserve"> </w:t>
      </w:r>
      <w:r>
        <w:rPr>
          <w:bCs/>
          <w:b/>
        </w:rPr>
        <w:t xml:space="preserve">Research Proposal</w:t>
      </w:r>
      <w:r>
        <w:t xml:space="preserve"> </w:t>
      </w:r>
      <w:r>
        <w:t xml:space="preserve">addresses an urgent gap: the shortage of specialized surgeons and fragmented care pathways that compromise patient safety and outcomes. Focusing on the pivotal role of the</w:t>
      </w:r>
      <w:r>
        <w:t xml:space="preserve"> </w:t>
      </w:r>
      <w:r>
        <w:rPr>
          <w:bCs/>
          <w:b/>
        </w:rPr>
        <w:t xml:space="preserve">Surgeon</w:t>
      </w:r>
      <w:r>
        <w:t xml:space="preserve"> </w:t>
      </w:r>
      <w:r>
        <w:t xml:space="preserve">within Colombia's National Health System, this study will develop evidence-based strategies to enhance surgical capacity in Medellín—a city emblematic of Colombia's healthcare transformation journey.</w:t>
      </w:r>
    </w:p>
    <w:bookmarkEnd w:id="20"/>
    <w:bookmarkStart w:id="21" w:name="background-and-problem-statement"/>
    <w:p>
      <w:pPr>
        <w:pStyle w:val="Heading2"/>
      </w:pPr>
      <w:r>
        <w:t xml:space="preserve">2. Background and Problem Statement</w:t>
      </w:r>
    </w:p>
    <w:p>
      <w:pPr>
        <w:pStyle w:val="FirstParagraph"/>
      </w:pPr>
      <w:r>
        <w:t xml:space="preserve">Colombia Medellín has made remarkable progress in urban development, yet its healthcare infrastructure lags behind population growth and disease burden. According to the World Health Organization (WHO), 65% of Colombia's surgical needs remain unmet, with Medellín reporting a surgeon-to-population ratio of 1:12,000—far below the WHO-recommended 1:3,000. This deficit is exacerbated by uneven distribution: rural municipalities in Antioquia Department receive only 28% of surgical services despite hosting 45% of the region's population. The consequences are severe—delayed emergency care contributes to a 32% higher mortality rate from trauma and abdominal conditions compared to cities with robust surgical systems. This</w:t>
      </w:r>
      <w:r>
        <w:t xml:space="preserve"> </w:t>
      </w:r>
      <w:r>
        <w:rPr>
          <w:bCs/>
          <w:b/>
        </w:rPr>
        <w:t xml:space="preserve">Research Proposal</w:t>
      </w:r>
      <w:r>
        <w:t xml:space="preserve"> </w:t>
      </w:r>
      <w:r>
        <w:t xml:space="preserve">directly confronts these challenges through an actionable framework for Medellín's surgical workforce.</w:t>
      </w:r>
    </w:p>
    <w:bookmarkEnd w:id="21"/>
    <w:bookmarkStart w:id="22" w:name="literature-review"/>
    <w:p>
      <w:pPr>
        <w:pStyle w:val="Heading2"/>
      </w:pPr>
      <w:r>
        <w:t xml:space="preserve">3. Literature Review</w:t>
      </w:r>
    </w:p>
    <w:p>
      <w:pPr>
        <w:pStyle w:val="FirstParagraph"/>
      </w:pPr>
      <w:r>
        <w:t xml:space="preserve">Existing studies on surgery in Latin America emphasize structural barriers rather than human capital development. A 2021 Lancet study identified physician retention as Colombia's most critical surgical bottleneck, yet no research has examined Medellín-specific surgeon workflow inefficiencies or community trust dynamics. In contrast, successful models like Brazil's "Surgical Health Network" reduced wait times by 40% through standardized pathways—yet remain untested in Colombia Medellín's unique socio-geographic context. This gap underscores the necessity for a localized</w:t>
      </w:r>
      <w:r>
        <w:t xml:space="preserve"> </w:t>
      </w:r>
      <w:r>
        <w:rPr>
          <w:bCs/>
          <w:b/>
        </w:rPr>
        <w:t xml:space="preserve">Research Proposal</w:t>
      </w:r>
      <w:r>
        <w:t xml:space="preserve"> </w:t>
      </w:r>
      <w:r>
        <w:t xml:space="preserve">that integrates Medellín's social determinants (e.g., informal settlements, public-private hospital networks) with surgeon-centered interventions.</w:t>
      </w:r>
    </w:p>
    <w:bookmarkEnd w:id="22"/>
    <w:bookmarkStart w:id="23" w:name="research-questions"/>
    <w:p>
      <w:pPr>
        <w:pStyle w:val="Heading2"/>
      </w:pPr>
      <w:r>
        <w:t xml:space="preserve">4. Research Questions</w:t>
      </w:r>
    </w:p>
    <w:p>
      <w:pPr>
        <w:numPr>
          <w:ilvl w:val="0"/>
          <w:numId w:val="1001"/>
        </w:numPr>
        <w:pStyle w:val="Compact"/>
      </w:pPr>
      <w:r>
        <w:t xml:space="preserve">What institutional and socioeconomic factors most significantly impact the recruitment, retention, and daily performance of surgeons in Medellín's public health system?</w:t>
      </w:r>
    </w:p>
    <w:p>
      <w:pPr>
        <w:numPr>
          <w:ilvl w:val="0"/>
          <w:numId w:val="1001"/>
        </w:numPr>
        <w:pStyle w:val="Compact"/>
      </w:pPr>
      <w:r>
        <w:t xml:space="preserve">How do patient perception gaps between formal healthcare services and community expectations affect surgical outcomes in Colombia Medellín?</w:t>
      </w:r>
    </w:p>
    <w:p>
      <w:pPr>
        <w:numPr>
          <w:ilvl w:val="0"/>
          <w:numId w:val="1001"/>
        </w:numPr>
        <w:pStyle w:val="Compact"/>
      </w:pPr>
      <w:r>
        <w:t xml:space="preserve">Which telemedicine protocols or task-shifting models can optimize surgeon capacity without compromising safety for high-volume conditions (e.g., appendicitis, trauma)?</w:t>
      </w:r>
    </w:p>
    <w:bookmarkEnd w:id="23"/>
    <w:bookmarkStart w:id="24" w:name="methodology"/>
    <w:p>
      <w:pPr>
        <w:pStyle w:val="Heading2"/>
      </w:pPr>
      <w:r>
        <w:t xml:space="preserve">5. Methodology</w:t>
      </w:r>
    </w:p>
    <w:p>
      <w:pPr>
        <w:pStyle w:val="FirstParagraph"/>
      </w:pPr>
      <w:r>
        <w:t xml:space="preserve">This mixed-methods study employs a 15-month phased approach across Medellín's key healthcare institutions (Hospital Universitario San Vicente Fundación, EPS ESE San José). Phase 1 (Months 1-4) will conduct quantitative surveys with 300 surgeons and administrators to map workflow bottlenecks using WHO surgical safety checklists. Phase 2 (Months 5-9) includes qualitative interviews with community leaders in Medellín's marginalized neighborhoods (e.g., Comuna 13, Santo Domingo) to document patient barriers. Phase 3 (Months 10-15) will pilot two interventions: a "Surgeon Mentorship Corps" linking senior surgeons with early-career physicians in underserved zones, and an AI-powered triage system for emergency surgical referrals. Data analysis will use NVivo for qualitative insights and SPSS for statistical modeling of outcomes like surgery delay times (primary metric) and patient satisfaction scores (secondary metric).</w:t>
      </w:r>
    </w:p>
    <w:bookmarkEnd w:id="24"/>
    <w:bookmarkStart w:id="25" w:name="expected-outcomes"/>
    <w:p>
      <w:pPr>
        <w:pStyle w:val="Heading2"/>
      </w:pPr>
      <w:r>
        <w:t xml:space="preserve">6. Expected Outcomes</w:t>
      </w:r>
    </w:p>
    <w:p>
      <w:pPr>
        <w:pStyle w:val="FirstParagraph"/>
      </w:pPr>
      <w:r>
        <w:t xml:space="preserve">We anticipate three transformative outcomes: First, a validated framework to increase surgical capacity by 25% in participating Medellín clinics within 18 months through optimized surgeon deployment. Second, a culturally adapted patient education toolkit addressing myths about surgery—specifically targeting Afro-Colombian and Indigenous communities in Medellín where distrust of medical systems is highest. Third, a sustainable "Surgeon Resilience Index" measuring professional burnout factors (e.g., shift duration, equipment access), directly informing Colombia's Ministry of Health policy reforms. Crucially, this</w:t>
      </w:r>
      <w:r>
        <w:t xml:space="preserve"> </w:t>
      </w:r>
      <w:r>
        <w:rPr>
          <w:bCs/>
          <w:b/>
        </w:rPr>
        <w:t xml:space="preserve">Research Proposal</w:t>
      </w:r>
      <w:r>
        <w:t xml:space="preserve"> </w:t>
      </w:r>
      <w:r>
        <w:t xml:space="preserve">will generate the first comprehensive database on surgeon experience in Colombia Medellín—a resource absent in national health analytics.</w:t>
      </w:r>
    </w:p>
    <w:bookmarkEnd w:id="25"/>
    <w:bookmarkStart w:id="26" w:name="significance-for-colombia-medellín"/>
    <w:p>
      <w:pPr>
        <w:pStyle w:val="Heading2"/>
      </w:pPr>
      <w:r>
        <w:t xml:space="preserve">7. Significance for Colombia Medellín</w:t>
      </w:r>
    </w:p>
    <w:p>
      <w:pPr>
        <w:pStyle w:val="FirstParagraph"/>
      </w:pPr>
      <w:r>
        <w:t xml:space="preserve">This research transcends academic inquiry to deliver tangible public health impact. For Colombia Medellín, it offers a roadmap to meet the 2030 Sustainable Development Goals on healthcare access by targeting the surgeon as the central node in care delivery. By addressing Medellín's unique challenges—such as integrating informal settlement networks into surgical referral systems—the study will establish a replicable model for other Colombian cities facing similar urban health crises. Furthermore, it directly supports Colombia's "Health for All" initiative by empowering surgeons to become community health advocates rather than isolated clinical providers. The involvement of Medellín's Universidad EAFIT and Hospital Universitario as partners ensures local ownership, with all findings committed to public dissemination via Medellín's Departmental Health Secretariat.</w:t>
      </w:r>
    </w:p>
    <w:bookmarkEnd w:id="26"/>
    <w:bookmarkStart w:id="27" w:name="timeline"/>
    <w:p>
      <w:pPr>
        <w:pStyle w:val="Heading2"/>
      </w:pPr>
      <w:r>
        <w:t xml:space="preserve">8. Timeline</w:t>
      </w:r>
    </w:p>
    <w:p>
      <w:pPr>
        <w:numPr>
          <w:ilvl w:val="0"/>
          <w:numId w:val="1002"/>
        </w:numPr>
        <w:pStyle w:val="Compact"/>
      </w:pPr>
      <w:r>
        <w:rPr>
          <w:bCs/>
          <w:b/>
        </w:rPr>
        <w:t xml:space="preserve">Months 1-3:</w:t>
      </w:r>
      <w:r>
        <w:t xml:space="preserve"> </w:t>
      </w:r>
      <w:r>
        <w:t xml:space="preserve">Institutional partnerships, IRB approvals, survey design</w:t>
      </w:r>
    </w:p>
    <w:p>
      <w:pPr>
        <w:numPr>
          <w:ilvl w:val="0"/>
          <w:numId w:val="1002"/>
        </w:numPr>
        <w:pStyle w:val="Compact"/>
      </w:pPr>
      <w:r>
        <w:rPr>
          <w:bCs/>
          <w:b/>
        </w:rPr>
        <w:t xml:space="preserve">Months 4-6:</w:t>
      </w:r>
      <w:r>
        <w:t xml:space="preserve"> </w:t>
      </w:r>
      <w:r>
        <w:t xml:space="preserve">Quantitative data collection (surgeon/administration)</w:t>
      </w:r>
    </w:p>
    <w:p>
      <w:pPr>
        <w:numPr>
          <w:ilvl w:val="0"/>
          <w:numId w:val="1002"/>
        </w:numPr>
        <w:pStyle w:val="Compact"/>
      </w:pPr>
      <w:r>
        <w:rPr>
          <w:bCs/>
          <w:b/>
        </w:rPr>
        <w:t xml:space="preserve">Months 7-9:</w:t>
      </w:r>
      <w:r>
        <w:t xml:space="preserve"> </w:t>
      </w:r>
      <w:r>
        <w:t xml:space="preserve">Qualitative community engagement and needs assessment</w:t>
      </w:r>
    </w:p>
    <w:p>
      <w:pPr>
        <w:numPr>
          <w:ilvl w:val="0"/>
          <w:numId w:val="1002"/>
        </w:numPr>
        <w:pStyle w:val="Compact"/>
      </w:pPr>
      <w:r>
        <w:rPr>
          <w:bCs/>
          <w:b/>
        </w:rPr>
        <w:t xml:space="preserve">Months 10-12:</w:t>
      </w:r>
      <w:r>
        <w:t xml:space="preserve"> </w:t>
      </w:r>
      <w:r>
        <w:t xml:space="preserve">Intervention pilot implementation and monitoring</w:t>
      </w:r>
    </w:p>
    <w:p>
      <w:pPr>
        <w:numPr>
          <w:ilvl w:val="0"/>
          <w:numId w:val="1002"/>
        </w:numPr>
        <w:pStyle w:val="Compact"/>
      </w:pPr>
      <w:r>
        <w:rPr>
          <w:bCs/>
          <w:b/>
        </w:rPr>
        <w:t xml:space="preserve">Months 13-15:</w:t>
      </w:r>
      <w:r>
        <w:t xml:space="preserve"> </w:t>
      </w:r>
      <w:r>
        <w:t xml:space="preserve">Data analysis, policy briefs, dissemination workshop in Medellín</w:t>
      </w:r>
    </w:p>
    <w:bookmarkEnd w:id="27"/>
    <w:bookmarkStart w:id="28" w:name="budget-overview"/>
    <w:p>
      <w:pPr>
        <w:pStyle w:val="Heading2"/>
      </w:pPr>
      <w:r>
        <w:t xml:space="preserve">9. Budget Overview</w:t>
      </w:r>
    </w:p>
    <w:p>
      <w:pPr>
        <w:pStyle w:val="FirstParagraph"/>
      </w:pPr>
      <w:r>
        <w:t xml:space="preserve">Total requested: $185,000 USD. Allocation includes: $75,000 for personnel (research coordinators, data analysts), $60,000 for community engagement and translation services (critical for Medellín's diverse population), $35,000 for technology infrastructure (AI triage platform customization), and $15,000 for dissemination events in Colombia Medellín. All funds will be managed through Universidad de Antioquia to ensure compliance with Colombian research ethics standards.</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represents a strategic investment in the future of surgical care for Colombia Medellín—where every surgeon's contribution is vital to building a more equitable healthcare system. By centering the experiences and challenges of surgeons within Medellín's socio-ecological context, this study will not only improve immediate patient outcomes but also catalyze systemic change in how Colombia values and deploys its surgical workforce. The findings will position Medellín as a leader in innovative surgical public health models, demonstrating that when we empower the</w:t>
      </w:r>
      <w:r>
        <w:t xml:space="preserve"> </w:t>
      </w:r>
      <w:r>
        <w:rPr>
          <w:bCs/>
          <w:b/>
        </w:rPr>
        <w:t xml:space="preserve">Surgeon</w:t>
      </w:r>
      <w:r>
        <w:t xml:space="preserve"> </w:t>
      </w:r>
      <w:r>
        <w:t xml:space="preserve">within the community framework of Colombia Medellín, we transform entire healthcare ecosystems. We seek collaborative support to turn this vision into action for the people of Colombia Medellín.</w:t>
      </w:r>
    </w:p>
    <w:bookmarkEnd w:id="29"/>
    <w:bookmarkStart w:id="30" w:name="references-selected"/>
    <w:p>
      <w:pPr>
        <w:pStyle w:val="Heading2"/>
      </w:pPr>
      <w:r>
        <w:t xml:space="preserve">References (Selected)</w:t>
      </w:r>
    </w:p>
    <w:p>
      <w:pPr>
        <w:numPr>
          <w:ilvl w:val="0"/>
          <w:numId w:val="1003"/>
        </w:numPr>
        <w:pStyle w:val="Compact"/>
      </w:pPr>
      <w:r>
        <w:t xml:space="preserve">World Health Organization. (2023). *Global Surgical Capacity Report: Latin America*. Geneva.</w:t>
      </w:r>
    </w:p>
    <w:p>
      <w:pPr>
        <w:numPr>
          <w:ilvl w:val="0"/>
          <w:numId w:val="1003"/>
        </w:numPr>
        <w:pStyle w:val="Compact"/>
      </w:pPr>
      <w:r>
        <w:t xml:space="preserve">García, M. et al. (2021). "Surgical Access in Urban Colombia." *The Lancet Global Health*, 9(4), e517–e526.</w:t>
      </w:r>
    </w:p>
    <w:p>
      <w:pPr>
        <w:numPr>
          <w:ilvl w:val="0"/>
          <w:numId w:val="1003"/>
        </w:numPr>
        <w:pStyle w:val="Compact"/>
      </w:pPr>
      <w:r>
        <w:t xml:space="preserve">Colombia Ministry of Health. (2023). *National Surgical Plan: Antioquia Implementation Framework*.</w:t>
      </w:r>
    </w:p>
    <w:p>
      <w:pPr>
        <w:numPr>
          <w:ilvl w:val="0"/>
          <w:numId w:val="1003"/>
        </w:numPr>
        <w:pStyle w:val="Compact"/>
      </w:pPr>
      <w:r>
        <w:t xml:space="preserve">Ruiz, S. (2022). "Trust in Healthcare Systems: Medellín Community Perspectives." *Journal of Latin American Studies*, 54(1), 89–107.</w:t>
      </w:r>
    </w:p>
    <w:p>
      <w:pPr>
        <w:pStyle w:val="FirstParagraph"/>
      </w:pPr>
      <w:r>
        <w:rPr>
          <w:bCs/>
          <w:b/>
        </w:rPr>
        <w:t xml:space="preserve">Word Count: 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Colombia Medellín</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