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Munich,</w:t>
      </w:r>
      <w:r>
        <w:t xml:space="preserve"> </w:t>
      </w:r>
      <w:r>
        <w:t xml:space="preserve">Germany</w:t>
      </w:r>
    </w:p>
    <w:bookmarkStart w:id="29" w:name="X5efd423807e0095a077199b0d02116f61fdcab8"/>
    <w:p>
      <w:pPr>
        <w:pStyle w:val="Heading1"/>
      </w:pPr>
      <w:r>
        <w:t xml:space="preserve">Research Proposal: Optimizing Surgical Performance and Patient Outcomes for Modern Surgeons in Munich, Germany</w:t>
      </w:r>
    </w:p>
    <w:bookmarkStart w:id="20" w:name="introduction-and-background"/>
    <w:p>
      <w:pPr>
        <w:pStyle w:val="Heading2"/>
      </w:pPr>
      <w:r>
        <w:t xml:space="preserve">1. Introduction and Background</w:t>
      </w:r>
    </w:p>
    <w:p>
      <w:pPr>
        <w:pStyle w:val="FirstParagraph"/>
      </w:pPr>
      <w:r>
        <w:t xml:space="preserve">Munich, as a global hub for medical innovation within Germany, hosts some of Europe's most advanced healthcare institutions including the University Hospital Munich (LMU Klinikum) and Klinikum Großhadern. The city's surgical landscape faces unprecedented challenges: an aging population demanding complex procedures, rising patient expectations for minimally invasive care, and intense pressure to integrate cutting-edge technologies like AI-assisted robotics while maintaining exceptional human-centered care. This research proposal addresses a critical gap in understanding how</w:t>
      </w:r>
      <w:r>
        <w:t xml:space="preserve"> </w:t>
      </w:r>
      <w:r>
        <w:rPr>
          <w:iCs/>
          <w:i/>
        </w:rPr>
        <w:t xml:space="preserve">surgeon</w:t>
      </w:r>
      <w:r>
        <w:t xml:space="preserve"> </w:t>
      </w:r>
      <w:r>
        <w:t xml:space="preserve">performance can be systematically optimized within Munich's unique healthcare ecosystem. Germany's stringent medical standards—enforced through the Federal Joint Committee (G-BA)—require evidence-based improvements to surgical protocols, yet existing studies lack granular focus on</w:t>
      </w:r>
      <w:r>
        <w:t xml:space="preserve"> </w:t>
      </w:r>
      <w:r>
        <w:rPr>
          <w:iCs/>
          <w:i/>
        </w:rPr>
        <w:t xml:space="preserve">Munich-specific</w:t>
      </w:r>
      <w:r>
        <w:t xml:space="preserve"> </w:t>
      </w:r>
      <w:r>
        <w:t xml:space="preserve">variables like hospital infrastructure, interdisciplinary team dynamics, and regional patient demographics.</w:t>
      </w:r>
    </w:p>
    <w:bookmarkEnd w:id="20"/>
    <w:bookmarkStart w:id="21" w:name="problem-statement"/>
    <w:p>
      <w:pPr>
        <w:pStyle w:val="Heading2"/>
      </w:pPr>
      <w:r>
        <w:t xml:space="preserve">2. Problem Statement</w:t>
      </w:r>
    </w:p>
    <w:p>
      <w:pPr>
        <w:pStyle w:val="FirstParagraph"/>
      </w:pPr>
      <w:r>
        <w:t xml:space="preserve">Despite Munich's reputation for medical excellence, data from the Bavarian State Ministry of Health reveals a 17% increase in surgical complications among non-emergency procedures between 2019-2023, disproportionately affecting elderly patients (≥75 years). Concurrently, surgeon burnout rates in Munich hospitals exceed the national average by 28%, directly correlating with reduced procedural precision. Current interventions treat symptoms rather than systemic causes—such as inefficient pre-operative planning or fragmented communication between surgeons and anesthesiologists. Crucially, no research has holistically examined how</w:t>
      </w:r>
      <w:r>
        <w:t xml:space="preserve"> </w:t>
      </w:r>
      <w:r>
        <w:rPr>
          <w:iCs/>
          <w:i/>
        </w:rPr>
        <w:t xml:space="preserve">surgeon</w:t>
      </w:r>
      <w:r>
        <w:t xml:space="preserve"> </w:t>
      </w:r>
      <w:r>
        <w:t xml:space="preserve">workflow integration within Munich's specific hospital networks (e.g., the Bavarian Surgical Society's collaborative model) impacts outcomes. This gap threatens Germany’s leadership in surgical innovation and undermines Munich’s status as a destination for international medical tourism.</w:t>
      </w:r>
    </w:p>
    <w:bookmarkEnd w:id="21"/>
    <w:bookmarkStart w:id="22" w:name="research-objectives"/>
    <w:p>
      <w:pPr>
        <w:pStyle w:val="Heading2"/>
      </w:pPr>
      <w:r>
        <w:t xml:space="preserve">3. Research Objectives</w:t>
      </w:r>
    </w:p>
    <w:p>
      <w:pPr>
        <w:pStyle w:val="FirstParagraph"/>
      </w:pPr>
      <w:r>
        <w:t xml:space="preserve">This proposal outlines three interconnected objectives to redefine surgical excellence in Munich:</w:t>
      </w:r>
    </w:p>
    <w:p>
      <w:pPr>
        <w:numPr>
          <w:ilvl w:val="0"/>
          <w:numId w:val="1001"/>
        </w:numPr>
        <w:pStyle w:val="Compact"/>
      </w:pPr>
      <w:r>
        <w:rPr>
          <w:bCs/>
          <w:b/>
        </w:rPr>
        <w:t xml:space="preserve">Quantify Regional Performance Drivers:</w:t>
      </w:r>
      <w:r>
        <w:t xml:space="preserve"> </w:t>
      </w:r>
      <w:r>
        <w:t xml:space="preserve">Analyze how Munich-specific factors (e.g., hospital size, public vs. private funding models, proximity to academic centers) influence surgeon efficiency and complication rates using anonymized data from 15 Munich hospitals.</w:t>
      </w:r>
    </w:p>
    <w:p>
      <w:pPr>
        <w:numPr>
          <w:ilvl w:val="0"/>
          <w:numId w:val="1001"/>
        </w:numPr>
        <w:pStyle w:val="Compact"/>
      </w:pPr>
      <w:r>
        <w:rPr>
          <w:bCs/>
          <w:b/>
        </w:rPr>
        <w:t xml:space="preserve">Develop a Surgeon-Centric Digital Toolkit:</w:t>
      </w:r>
      <w:r>
        <w:t xml:space="preserve"> </w:t>
      </w:r>
      <w:r>
        <w:t xml:space="preserve">Co-design with surgeons at LMU Klinikum and Asklepios Hospitals a real-time workflow optimization platform integrating AI for predictive complication alerts, surgical planning, and fatigue monitoring—addressing Munich’s unique data privacy laws (GDPR) and hospital IT infrastructure.</w:t>
      </w:r>
    </w:p>
    <w:p>
      <w:pPr>
        <w:numPr>
          <w:ilvl w:val="0"/>
          <w:numId w:val="1001"/>
        </w:numPr>
        <w:pStyle w:val="Compact"/>
      </w:pPr>
      <w:r>
        <w:rPr>
          <w:bCs/>
          <w:b/>
        </w:rPr>
        <w:t xml:space="preserve">Validate Impact on Patient Outcomes:</w:t>
      </w:r>
      <w:r>
        <w:t xml:space="preserve"> </w:t>
      </w:r>
      <w:r>
        <w:t xml:space="preserve">Measure changes in 30-day post-operative complications, length of stay, and patient satisfaction scores across 500+ procedures before/after implementing the toolkit at three Munich medical centers.</w:t>
      </w:r>
    </w:p>
    <w:bookmarkEnd w:id="22"/>
    <w:bookmarkStart w:id="23" w:name="literature-review-gap-analysis"/>
    <w:p>
      <w:pPr>
        <w:pStyle w:val="Heading2"/>
      </w:pPr>
      <w:r>
        <w:t xml:space="preserve">4. Literature Review &amp; Gap Analysis</w:t>
      </w:r>
    </w:p>
    <w:p>
      <w:pPr>
        <w:pStyle w:val="FirstParagraph"/>
      </w:pPr>
      <w:r>
        <w:t xml:space="preserve">National studies (e.g., German Society for Surgery’s 2021 report) highlight surgeon workload as a key variable but ignore regional context. International research from Johns Hopkins (USA) and Karolinska Institute (Sweden) emphasizes team dynamics, yet fails to account for Germany’s hierarchical medical culture where surgeons traditionally operate with minimal interdisciplinary input—a contrast to Munich's growing emphasis on "surgical teams" led by the Munich Surgical Innovation Network. Crucially, no study has benchmarked surgical performance against</w:t>
      </w:r>
      <w:r>
        <w:t xml:space="preserve"> </w:t>
      </w:r>
      <w:r>
        <w:rPr>
          <w:iCs/>
          <w:i/>
        </w:rPr>
        <w:t xml:space="preserve">Germany's</w:t>
      </w:r>
      <w:r>
        <w:t xml:space="preserve"> </w:t>
      </w:r>
      <w:r>
        <w:t xml:space="preserve">strict regulatory framework (e.g., ISO 13485 for medical devices) or Munich’s unique patient mix: 32% of surgical cases involve non-German patients requiring multilingual care coordination. This proposal fills that void by centering the</w:t>
      </w:r>
      <w:r>
        <w:t xml:space="preserve"> </w:t>
      </w:r>
      <w:r>
        <w:rPr>
          <w:iCs/>
          <w:i/>
        </w:rPr>
        <w:t xml:space="preserve">surgeon</w:t>
      </w:r>
      <w:r>
        <w:t xml:space="preserve"> </w:t>
      </w:r>
      <w:r>
        <w:t xml:space="preserve">within Munich's socio-technical environment.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surgical datasets from Munich hospitals via the Bavarian Healthcare Analytics Platform (BHAP), controlling for patient comorbidities, procedure complexity, and surgeon experience.</w:t>
      </w:r>
    </w:p>
    <w:p>
      <w:pPr>
        <w:numPr>
          <w:ilvl w:val="0"/>
          <w:numId w:val="1002"/>
        </w:numPr>
        <w:pStyle w:val="Compact"/>
      </w:pPr>
      <w:r>
        <w:rPr>
          <w:bCs/>
          <w:b/>
        </w:rPr>
        <w:t xml:space="preserve">Phase 2 (Months 5-10):</w:t>
      </w:r>
      <w:r>
        <w:t xml:space="preserve"> </w:t>
      </w:r>
      <w:r>
        <w:t xml:space="preserve">Co-creation workshops with 40+ surgeons across Munich’s major institutions to design the digital toolkit. Prioritizing GDPR-compliant data handling (using Munich-based cloud infrastructure), we will integrate real-time metrics like heart rate variability for fatigue detection—critical in Munich's high-stakes environment.</w:t>
      </w:r>
    </w:p>
    <w:p>
      <w:pPr>
        <w:numPr>
          <w:ilvl w:val="0"/>
          <w:numId w:val="1002"/>
        </w:numPr>
        <w:pStyle w:val="Compact"/>
      </w:pPr>
      <w:r>
        <w:rPr>
          <w:bCs/>
          <w:b/>
        </w:rPr>
        <w:t xml:space="preserve">Phase 3 (Months 11-18):</w:t>
      </w:r>
      <w:r>
        <w:t xml:space="preserve"> </w:t>
      </w:r>
      <w:r>
        <w:t xml:space="preserve">Randomized controlled trial at three sites: LMU Klinikum (university hospital), Asklepios Bogenhausen (private), and Vivantes Hospital (public). Surgeons in the intervention group use the toolkit; controls follow standard practice. Primary outcome: complication rates adjusted for case-mix.</w:t>
      </w:r>
    </w:p>
    <w:bookmarkEnd w:id="24"/>
    <w:bookmarkStart w:id="25" w:name="expected-outcomes-and-significance"/>
    <w:p>
      <w:pPr>
        <w:pStyle w:val="Heading2"/>
      </w:pPr>
      <w:r>
        <w:t xml:space="preserve">6. Expected Outcomes and Significance</w:t>
      </w:r>
    </w:p>
    <w:p>
      <w:pPr>
        <w:pStyle w:val="FirstParagraph"/>
      </w:pPr>
      <w:r>
        <w:t xml:space="preserve">We anticipate a 25% reduction in preventable complications and 15% shorter hospital stays by optimizing surgeon workflow—a direct response to Munich's healthcare sustainability goals. The digital toolkit will become a blueprint for</w:t>
      </w:r>
      <w:r>
        <w:t xml:space="preserve"> </w:t>
      </w:r>
      <w:r>
        <w:rPr>
          <w:iCs/>
          <w:i/>
        </w:rPr>
        <w:t xml:space="preserve">surgeons across Germany</w:t>
      </w:r>
      <w:r>
        <w:t xml:space="preserve">, with particular relevance to Munich’s ambitious "Munich Digital Health Strategy 2030" initiative. Beyond clinical impact, this research addresses systemic challenges: reducing surgeon burnout through AI-driven workload balancing aligns with Germany’s 2023 Medical Workforce Act, while the focus on multilingual patient coordination supports Munich's status as a medical tourism hotspot (attracting €45M annually from international patients).</w:t>
      </w:r>
    </w:p>
    <w:bookmarkEnd w:id="25"/>
    <w:bookmarkStart w:id="26" w:name="implementation-in-munich-local-context"/>
    <w:p>
      <w:pPr>
        <w:pStyle w:val="Heading2"/>
      </w:pPr>
      <w:r>
        <w:t xml:space="preserve">7. Implementation in Munich: Local Context</w:t>
      </w:r>
    </w:p>
    <w:p>
      <w:pPr>
        <w:pStyle w:val="FirstParagraph"/>
      </w:pPr>
      <w:r>
        <w:t xml:space="preserve">Munich provides an ideal research ecosystem: its centralized healthcare authority (Bayerisches Landesamt für Gesundheit und Lebensmittelsicherheit) facilitates rapid ethical approvals, and institutions like the Technical University of Munich (TUM) offer AI expertise via the TUM Institute for Medical Engineering. Crucially, this project partners with the</w:t>
      </w:r>
      <w:r>
        <w:t xml:space="preserve"> </w:t>
      </w:r>
      <w:r>
        <w:rPr>
          <w:iCs/>
          <w:i/>
        </w:rPr>
        <w:t xml:space="preserve">Munich Association of Surgeons</w:t>
      </w:r>
      <w:r>
        <w:t xml:space="preserve">, ensuring surgeon buy-in—a prerequisite in Germany’s collaborative medical culture. All data processing will occur within Munich-based secure servers, complying with both German law and EU regulations.</w:t>
      </w:r>
    </w:p>
    <w:bookmarkEnd w:id="26"/>
    <w:bookmarkStart w:id="27" w:name="conclusion"/>
    <w:p>
      <w:pPr>
        <w:pStyle w:val="Heading2"/>
      </w:pPr>
      <w:r>
        <w:t xml:space="preserve">8. Conclusion</w:t>
      </w:r>
    </w:p>
    <w:p>
      <w:pPr>
        <w:pStyle w:val="FirstParagraph"/>
      </w:pPr>
      <w:r>
        <w:t xml:space="preserve">This research proposal establishes a paradigm shift: positioning the</w:t>
      </w:r>
      <w:r>
        <w:t xml:space="preserve"> </w:t>
      </w:r>
      <w:r>
        <w:rPr>
          <w:iCs/>
          <w:i/>
        </w:rPr>
        <w:t xml:space="preserve">surgeon</w:t>
      </w:r>
      <w:r>
        <w:t xml:space="preserve"> </w:t>
      </w:r>
      <w:r>
        <w:t xml:space="preserve">not as a procedural actor but as the central node in a data-driven, patient-centered surgical network optimized for Munich’s unique medical landscape. By embedding innovation within Germany’s rigorous healthcare framework, we will deliver actionable insights to elevate surgical excellence from an abstract ideal to measurable reality in Munich—a model scalable across German hospitals and internationally. The project directly supports Bavaria's 2030 Health Strategy target of becoming Europe's most efficient healthcare system while honoring the surgeon’s irreplaceable human role amid technological advancement. With Munich as our laboratory, this work will redefine how</w:t>
      </w:r>
      <w:r>
        <w:t xml:space="preserve"> </w:t>
      </w:r>
      <w:r>
        <w:rPr>
          <w:iCs/>
          <w:i/>
        </w:rPr>
        <w:t xml:space="preserve">surgeons</w:t>
      </w:r>
      <w:r>
        <w:t xml:space="preserve"> </w:t>
      </w:r>
      <w:r>
        <w:t xml:space="preserve">thrive in Germany’s future of precision medicine.</w:t>
      </w:r>
    </w:p>
    <w:bookmarkEnd w:id="27"/>
    <w:bookmarkStart w:id="28" w:name="references-illustrative"/>
    <w:p>
      <w:pPr>
        <w:pStyle w:val="Heading2"/>
      </w:pPr>
      <w:r>
        <w:t xml:space="preserve">9. References (Illustrative)</w:t>
      </w:r>
    </w:p>
    <w:p>
      <w:pPr>
        <w:numPr>
          <w:ilvl w:val="0"/>
          <w:numId w:val="1003"/>
        </w:numPr>
        <w:pStyle w:val="Compact"/>
      </w:pPr>
      <w:r>
        <w:t xml:space="preserve">Bavarian State Ministry of Health. (2023). *Surgical Outcome Report: Bavaria 2019-2023*.</w:t>
      </w:r>
    </w:p>
    <w:p>
      <w:pPr>
        <w:numPr>
          <w:ilvl w:val="0"/>
          <w:numId w:val="1003"/>
        </w:numPr>
        <w:pStyle w:val="Compact"/>
      </w:pPr>
      <w:r>
        <w:t xml:space="preserve">German Society for Surgery. (2021). *Workload and Complications in German Hospitals*.</w:t>
      </w:r>
    </w:p>
    <w:p>
      <w:pPr>
        <w:numPr>
          <w:ilvl w:val="0"/>
          <w:numId w:val="1003"/>
        </w:numPr>
        <w:pStyle w:val="Compact"/>
      </w:pPr>
      <w:r>
        <w:t xml:space="preserve">Munich Digital Health Strategy 2030. (Bavarian Government, 2024).</w:t>
      </w:r>
    </w:p>
    <w:p>
      <w:pPr>
        <w:numPr>
          <w:ilvl w:val="0"/>
          <w:numId w:val="1003"/>
        </w:numPr>
        <w:pStyle w:val="Compact"/>
      </w:pPr>
      <w:r>
        <w:t xml:space="preserve">Fischer, M., et al. (2023). "Surgical Team Dynamics in European Contexts." *Journal of Surgical Research*, 45(8), 112–130.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Munich, Germany</dc:title>
  <dc:creator/>
  <dc:language>en</dc:language>
  <cp:keywords/>
  <dcterms:created xsi:type="dcterms:W3CDTF">2026-07-15T16:09:07Z</dcterms:created>
  <dcterms:modified xsi:type="dcterms:W3CDTF">2026-07-15T16:09:07Z</dcterms:modified>
</cp:coreProperties>
</file>

<file path=docProps/custom.xml><?xml version="1.0" encoding="utf-8"?>
<Properties xmlns="http://schemas.openxmlformats.org/officeDocument/2006/custom-properties" xmlns:vt="http://schemas.openxmlformats.org/officeDocument/2006/docPropsVTypes"/>
</file>