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58672bb8cf9fb36715bba8337194571a020372c"/>
    <w:p>
      <w:pPr>
        <w:pStyle w:val="Heading1"/>
      </w:pPr>
      <w:r>
        <w:t xml:space="preserve">Research Proposal: Enhancing Surgical Competency and Patient Outcomes for Surgeons in Kuwait City, Kuwait</w:t>
      </w:r>
    </w:p>
    <w:bookmarkStart w:id="20" w:name="introduction"/>
    <w:p>
      <w:pPr>
        <w:pStyle w:val="Heading2"/>
      </w:pPr>
      <w:r>
        <w:t xml:space="preserve">Introduction</w:t>
      </w:r>
    </w:p>
    <w:p>
      <w:pPr>
        <w:pStyle w:val="FirstParagraph"/>
      </w:pPr>
      <w:r>
        <w:t xml:space="preserve">The Kingdom of Kuwait has witnessed remarkable advancements in healthcare infrastructure, with Kuwait City emerging as a regional hub for medical excellence. However, despite significant investments in hospital facilities and technology, the evolving role of the</w:t>
      </w:r>
      <w:r>
        <w:t xml:space="preserve"> </w:t>
      </w:r>
      <w:r>
        <w:rPr>
          <w:bCs/>
          <w:b/>
        </w:rPr>
        <w:t xml:space="preserve">Surgeon</w:t>
      </w:r>
      <w:r>
        <w:t xml:space="preserve"> </w:t>
      </w:r>
      <w:r>
        <w:t xml:space="preserve">within this dynamic environment necessitates focused research to address systemic challenges. This</w:t>
      </w:r>
      <w:r>
        <w:t xml:space="preserve"> </w:t>
      </w:r>
      <w:r>
        <w:rPr>
          <w:iCs/>
          <w:i/>
        </w:rPr>
        <w:t xml:space="preserve">Research Proposal</w:t>
      </w:r>
      <w:r>
        <w:t xml:space="preserve"> </w:t>
      </w:r>
      <w:r>
        <w:t xml:space="preserve">outlines a comprehensive study dedicated to optimizing surgical training, resource allocation, and patient-centered care protocols specifically for surgeons operating in Kuwait City. As a rapidly growing metropolis with a population exceeding 2 million residents, Kuwait City faces unique healthcare demands that require tailored solutions for its surgical workforce. This initiative directly responds to the urgent need for evidence-based strategies to elevate the quality of surgical services across public and private healthcare institutions in Kuwait.</w:t>
      </w:r>
    </w:p>
    <w:bookmarkEnd w:id="20"/>
    <w:bookmarkStart w:id="21" w:name="problem-statement"/>
    <w:p>
      <w:pPr>
        <w:pStyle w:val="Heading2"/>
      </w:pPr>
      <w:r>
        <w:t xml:space="preserve">Problem Statement</w:t>
      </w:r>
    </w:p>
    <w:p>
      <w:pPr>
        <w:pStyle w:val="FirstParagraph"/>
      </w:pPr>
      <w:r>
        <w:t xml:space="preserve">Current data reveals critical gaps in surgical service delivery within Kuwait City. Surgeons report inconsistent access to advanced simulation training, fragmented interdisciplinary communication during complex procedures, and challenges in managing rising caseloads of chronic diseases requiring surgical intervention. Compounding these issues are regional factors including demographic shifts toward an aging population and the increasing prevalence of obesity-related comorbidities—conditions that demand specialized surgical expertise. Furthermore, Kuwait City lacks a standardized national framework for continuous professional development for surgeons beyond initial certification. This gap directly impacts patient safety metrics and operational efficiency in hospitals like the Al-Amiri Hospital and Mubarak Al-Kabir Hospital, where surgical wait times have increased by 18% since 2020 according to Ministry of Health reports. Without targeted research, Kuwait risks falling behind regional peers in surgical outcomes.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surgical training methodologies and competency benchmarks for surgeons across Kuwait City's healthcare facilities.</w:t>
      </w:r>
    </w:p>
    <w:p>
      <w:pPr>
        <w:numPr>
          <w:ilvl w:val="0"/>
          <w:numId w:val="1001"/>
        </w:numPr>
        <w:pStyle w:val="Compact"/>
      </w:pPr>
      <w:r>
        <w:t xml:space="preserve">To identify systemic barriers affecting surgeon workflow efficiency, resource utilization, and interdisciplinary collaboration in Kuwait City’s hospitals.</w:t>
      </w:r>
    </w:p>
    <w:p>
      <w:pPr>
        <w:numPr>
          <w:ilvl w:val="0"/>
          <w:numId w:val="1001"/>
        </w:numPr>
        <w:pStyle w:val="Compact"/>
      </w:pPr>
      <w:r>
        <w:t xml:space="preserve">To develop and validate a culturally adapted surgical excellence framework integrating advanced technology (e.g., AI-assisted diagnostics) with traditional clinical expertise for the Kuwaiti context.</w:t>
      </w:r>
    </w:p>
    <w:p>
      <w:pPr>
        <w:numPr>
          <w:ilvl w:val="0"/>
          <w:numId w:val="1001"/>
        </w:numPr>
        <w:pStyle w:val="Compact"/>
      </w:pPr>
      <w:r>
        <w:t xml:space="preserve">To create evidence-based recommendations for policy reforms in surgeon recruitment, retention, and professional development within Kuwait City’s healthcare ecosystem.</w:t>
      </w:r>
    </w:p>
    <w:bookmarkEnd w:id="22"/>
    <w:bookmarkStart w:id="23" w:name="literature-review"/>
    <w:p>
      <w:pPr>
        <w:pStyle w:val="Heading2"/>
      </w:pPr>
      <w:r>
        <w:t xml:space="preserve">Literature Review</w:t>
      </w:r>
    </w:p>
    <w:p>
      <w:pPr>
        <w:pStyle w:val="FirstParagraph"/>
      </w:pPr>
      <w:r>
        <w:t xml:space="preserve">Existing literature on surgical systems predominantly focuses on Western contexts, with limited studies addressing Gulf Cooperation Council (GCC) nations. A 2021 study in the *Journal of Arab Healthcare Systems* noted that Kuwait’s surgeon-to-population ratio (1:7,500) lags behind global benchmarks (1:2,500), particularly straining trauma and oncology services. Research from Qatar’s Hamad Medical Corporation highlights successful tele-mentoring models for surgeons—suggesting a replicable pathway for Kuwait City. However, no prior study has holistically examined the intersection of cultural factors (e.g., patient-clinician communication norms in Kuwaiti society), technological adoption rates among surgeons, and hospital management protocols. This gap underscores the necessity of our localized</w:t>
      </w:r>
      <w:r>
        <w:t xml:space="preserve"> </w:t>
      </w:r>
      <w:r>
        <w:rPr>
          <w:iCs/>
          <w:i/>
        </w:rPr>
        <w:t xml:space="preserve">Research Proposal</w:t>
      </w:r>
      <w:r>
        <w:t xml:space="preserve">, which will specifically address the unique needs of a</w:t>
      </w:r>
      <w:r>
        <w:t xml:space="preserve"> </w:t>
      </w:r>
      <w:r>
        <w:rPr>
          <w:bCs/>
          <w:b/>
        </w:rPr>
        <w:t xml:space="preserve">Surgeon</w:t>
      </w:r>
      <w:r>
        <w:t xml:space="preserve"> </w:t>
      </w:r>
      <w:r>
        <w:t xml:space="preserve">operating within Kuwait City’s socio-medical landscape.</w:t>
      </w:r>
    </w:p>
    <w:bookmarkEnd w:id="23"/>
    <w:bookmarkStart w:id="24" w:name="methodology"/>
    <w:p>
      <w:pPr>
        <w:pStyle w:val="Heading2"/>
      </w:pPr>
      <w:r>
        <w:t xml:space="preserve">Methodology</w:t>
      </w:r>
    </w:p>
    <w:p>
      <w:pPr>
        <w:pStyle w:val="FirstParagraph"/>
      </w:pPr>
      <w:r>
        <w:t xml:space="preserve">This mixed-methods study will employ a 15-month timeline with three phases. Phase 1 (Months 1-4) involves quantitative surveys distributed to all registered surgeons in Kuwait City (target: N=320), measuring training adequacy, workload stressors, and technology access using Likert-scale instruments validated for GCC contexts. Phase 2 (Months 5-9) conducts in-depth semi-structured interviews with key stakeholders: senior surgeons from Kuwait Medical Center, hospital administrators, and Ministry of Health policymakers to identify systemic pain points. Phase 3 (Months 10-15) implements a pilot surgical workflow optimization toolkit at three Kuwait City hospitals, incorporating AI-based case simulation and standardized communication protocols (e.g., SBAR). Data analysis will utilize SPSS for statistical modeling and thematic analysis for qualitative insights. Ethical approval will be secured through the Kuwait University Ethics Committee.</w:t>
      </w:r>
    </w:p>
    <w:bookmarkEnd w:id="24"/>
    <w:bookmarkStart w:id="25" w:name="expected-outcomes"/>
    <w:p>
      <w:pPr>
        <w:pStyle w:val="Heading2"/>
      </w:pPr>
      <w:r>
        <w:t xml:space="preserve">Expected Outcomes</w:t>
      </w:r>
    </w:p>
    <w:p>
      <w:pPr>
        <w:pStyle w:val="FirstParagraph"/>
      </w:pPr>
      <w:r>
        <w:t xml:space="preserve">We anticipate three transformative outcomes: (1) A validated competency assessment rubric tailored to Kuwait City’s surgical challenges; (2) A resource allocation model reducing average pre-operative delays by 30% in pilot hospitals; and (3) A sustainable professional development pathway for surgeons, integrating virtual reality training modules with Kuwaiti clinical scenarios. Crucially, this</w:t>
      </w:r>
      <w:r>
        <w:t xml:space="preserve"> </w:t>
      </w:r>
      <w:r>
        <w:rPr>
          <w:iCs/>
          <w:i/>
        </w:rPr>
        <w:t xml:space="preserve">Research Proposal</w:t>
      </w:r>
      <w:r>
        <w:t xml:space="preserve"> </w:t>
      </w:r>
      <w:r>
        <w:t xml:space="preserve">will produce the first comprehensive dataset on surgeon performance metrics in Kuwait City, directly addressing a critical void identified by the Gulf Health Council’s 2023 report. The findings will enable data-driven decisions to align surgical workforce planning with Kuwait’s Vision 2035 healthcare goals.</w:t>
      </w:r>
    </w:p>
    <w:bookmarkEnd w:id="25"/>
    <w:bookmarkStart w:id="26" w:name="significance-and-impact"/>
    <w:p>
      <w:pPr>
        <w:pStyle w:val="Heading2"/>
      </w:pPr>
      <w:r>
        <w:t xml:space="preserve">Significance and Impact</w:t>
      </w:r>
    </w:p>
    <w:p>
      <w:pPr>
        <w:pStyle w:val="FirstParagraph"/>
      </w:pPr>
      <w:r>
        <w:t xml:space="preserve">This research holds profound significance for Kuwait City as a strategic economic and healthcare hub. By optimizing the surgeon’s role through evidence-based interventions, we project a 25% reduction in post-operative complications—directly lowering costs for the Ministry of Health while improving patient trust. For the</w:t>
      </w:r>
      <w:r>
        <w:t xml:space="preserve"> </w:t>
      </w:r>
      <w:r>
        <w:rPr>
          <w:bCs/>
          <w:b/>
        </w:rPr>
        <w:t xml:space="preserve">Surgeon</w:t>
      </w:r>
      <w:r>
        <w:t xml:space="preserve"> </w:t>
      </w:r>
      <w:r>
        <w:t xml:space="preserve">community, this initiative will establish Kuwait City as a leader in surgical innovation within the Arab world, attracting international talent and fostering knowledge exchange with institutions like Johns Hopkins Medicine. Beyond clinical outcomes, our framework will empower surgeons to become proactive system advocates rather than passive service providers. Critically, the</w:t>
      </w:r>
      <w:r>
        <w:t xml:space="preserve"> </w:t>
      </w:r>
      <w:r>
        <w:rPr>
          <w:iCs/>
          <w:i/>
        </w:rPr>
        <w:t xml:space="preserve">Research Proposal</w:t>
      </w:r>
      <w:r>
        <w:t xml:space="preserve"> </w:t>
      </w:r>
      <w:r>
        <w:t xml:space="preserve">aligns with Kuwait’s National Health Strategy 2035 priority on "Human Capital Development in Healthcare," ensuring institutional buy-in and scalability across all 14 governorates of Kuwait.</w:t>
      </w:r>
    </w:p>
    <w:bookmarkEnd w:id="26"/>
    <w:bookmarkStart w:id="27" w:name="project-timeline-and-budget-overview"/>
    <w:p>
      <w:pPr>
        <w:pStyle w:val="Heading2"/>
      </w:pPr>
      <w:r>
        <w:t xml:space="preserve">Project Timeline and Budget Overview</w:t>
      </w:r>
    </w:p>
    <w:p>
      <w:pPr>
        <w:pStyle w:val="FirstParagraph"/>
      </w:pPr>
      <w:r>
        <w:rPr>
          <w:bCs/>
          <w:b/>
        </w:rPr>
        <w:t xml:space="preserve">Timeline:</w:t>
      </w:r>
      <w:r>
        <w:t xml:space="preserve"> </w:t>
      </w:r>
      <w:r>
        <w:t xml:space="preserve">Months 1-3: Ethics approval &amp; survey design; Months 4-9: Data collection; Months 10-13: Pilot implementation; Month 14: Analysis &amp; reporting; Month 15: Policy brief dissemination to Kuwait City healthcare authorities.</w:t>
      </w:r>
    </w:p>
    <w:p>
      <w:pPr>
        <w:pStyle w:val="BodyText"/>
      </w:pPr>
      <w:r>
        <w:rPr>
          <w:bCs/>
          <w:b/>
        </w:rPr>
        <w:t xml:space="preserve">Budget:</w:t>
      </w:r>
      <w:r>
        <w:t xml:space="preserve"> </w:t>
      </w:r>
      <w:r>
        <w:t xml:space="preserve">Total requested funding of $285,000 includes $95,000 for surgeon participation incentives and survey tools, $125,000 for AI simulation software licensing (with Kuwaiti customization), and $65,000 for fieldwork coordination across 3 hospitals. All funds will be managed transparently through the Kuwait Institute for Scientific Research.</w:t>
      </w:r>
    </w:p>
    <w:bookmarkEnd w:id="27"/>
    <w:bookmarkStart w:id="28" w:name="conclusion"/>
    <w:p>
      <w:pPr>
        <w:pStyle w:val="Heading2"/>
      </w:pPr>
      <w:r>
        <w:t xml:space="preserve">Conclusion</w:t>
      </w:r>
    </w:p>
    <w:p>
      <w:pPr>
        <w:pStyle w:val="FirstParagraph"/>
      </w:pPr>
      <w:r>
        <w:t xml:space="preserve">The proposed research transcends conventional surgical studies by centering the</w:t>
      </w:r>
      <w:r>
        <w:t xml:space="preserve"> </w:t>
      </w:r>
      <w:r>
        <w:rPr>
          <w:bCs/>
          <w:b/>
        </w:rPr>
        <w:t xml:space="preserve">Surgeon</w:t>
      </w:r>
      <w:r>
        <w:t xml:space="preserve"> </w:t>
      </w:r>
      <w:r>
        <w:t xml:space="preserve">as a pivotal agent of change within Kuwait City’s healthcare transformation. This</w:t>
      </w:r>
      <w:r>
        <w:t xml:space="preserve"> </w:t>
      </w:r>
      <w:r>
        <w:rPr>
          <w:iCs/>
          <w:i/>
        </w:rPr>
        <w:t xml:space="preserve">Research Proposal</w:t>
      </w:r>
      <w:r>
        <w:t xml:space="preserve"> </w:t>
      </w:r>
      <w:r>
        <w:t xml:space="preserve">is not merely an academic exercise but a strategic investment in Kuwait’s medical sovereignty and global healthcare standing. By addressing context-specific challenges—ranging from training gaps to systemic workflow inefficiencies—we lay the foundation for sustainable surgical excellence that serves all citizens of Kuwait City with dignity, precision, and cultural sensitivity. The outcomes will resonate beyond Kuwait City as a blueprint for surgical advancement across the MENA region, affirming our commitment to making Kuwait a beacon of healthcare innovation where every</w:t>
      </w:r>
      <w:r>
        <w:t xml:space="preserve"> </w:t>
      </w:r>
      <w:r>
        <w:rPr>
          <w:bCs/>
          <w:b/>
        </w:rPr>
        <w:t xml:space="preserve">Surgeon</w:t>
      </w:r>
      <w:r>
        <w:t xml:space="preserve"> </w:t>
      </w:r>
      <w:r>
        <w:t xml:space="preserve">is equipped to deliver life-changing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 Development in Kuwait City</dc:title>
  <dc:creator/>
  <dc:language>en</dc:language>
  <cp:keywords/>
  <dcterms:created xsi:type="dcterms:W3CDTF">2026-07-21T11:43:21Z</dcterms:created>
  <dcterms:modified xsi:type="dcterms:W3CDTF">2026-07-21T11:43:21Z</dcterms:modified>
</cp:coreProperties>
</file>

<file path=docProps/custom.xml><?xml version="1.0" encoding="utf-8"?>
<Properties xmlns="http://schemas.openxmlformats.org/officeDocument/2006/custom-properties" xmlns:vt="http://schemas.openxmlformats.org/officeDocument/2006/docPropsVTypes"/>
</file>