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faf29189ea673e86f69197e3b72c294085dfd8"/>
    <w:p>
      <w:pPr>
        <w:pStyle w:val="Heading1"/>
      </w:pPr>
      <w:r>
        <w:t xml:space="preserve">Research Proposal: Optimizing Surgical Workforce Capacity and Cultural Safety for Diverse Populations in New Zealand Auckland</w:t>
      </w:r>
    </w:p>
    <w:p>
      <w:pPr>
        <w:pStyle w:val="FirstParagraph"/>
      </w:pPr>
      <w:r>
        <w:rPr>
          <w:bCs/>
          <w:b/>
        </w:rPr>
        <w:t xml:space="preserve">Submitted To:</w:t>
      </w:r>
      <w:r>
        <w:t xml:space="preserve"> </w:t>
      </w:r>
      <w:r>
        <w:t xml:space="preserve">Health Research Council of New Zealand (HRC)</w:t>
      </w:r>
      <w:r>
        <w:t xml:space="preserve"> </w:t>
      </w:r>
      <w:r>
        <w:rPr>
          <w:bCs/>
          <w:b/>
        </w:rPr>
        <w:t xml:space="preserve">Date:</w:t>
      </w:r>
      <w:r>
        <w:t xml:space="preserve"> </w:t>
      </w:r>
      <w:r>
        <w:t xml:space="preserve">October 26, 2023</w:t>
      </w:r>
      <w:r>
        <w:t xml:space="preserve"> </w:t>
      </w:r>
      <w:r>
        <w:rPr>
          <w:bCs/>
          <w:b/>
        </w:rPr>
        <w:t xml:space="preserve">Research Lead:</w:t>
      </w:r>
      <w:r>
        <w:t xml:space="preserve"> </w:t>
      </w:r>
      <w:r>
        <w:t xml:space="preserve">Dr. Awhina Te Rangi, Department of Surgery, University of Auckland</w:t>
      </w:r>
    </w:p>
    <w:bookmarkStart w:id="20" w:name="i.-introduction"/>
    <w:p>
      <w:pPr>
        <w:pStyle w:val="Heading2"/>
      </w:pPr>
      <w:r>
        <w:t xml:space="preserve">I. Introduction</w:t>
      </w:r>
    </w:p>
    <w:p>
      <w:pPr>
        <w:pStyle w:val="FirstParagraph"/>
      </w:pPr>
      <w:r>
        <w:t xml:space="preserve">New Zealand Auckland represents a dynamic healthcare ecosystem serving over 1.6 million people across one of the world’s most culturally diverse urban centres. As the nation’s largest city and primary healthcare hub, Auckland faces unique challenges in surgical service delivery, particularly concerning equitable access to high-quality care for Māori, Pacific Islander, and immigrant communities. The role of the surgeon extends beyond technical skill; it encompasses cultural safety, system navigation, and community trust-building within New Zealand’s bicultural framework. This research proposal addresses critical gaps in surgical workforce planning and patient outcomes specific to</w:t>
      </w:r>
      <w:r>
        <w:t xml:space="preserve"> </w:t>
      </w:r>
      <w:r>
        <w:rPr>
          <w:bCs/>
          <w:b/>
        </w:rPr>
        <w:t xml:space="preserve">New Zealand Auckland</w:t>
      </w:r>
      <w:r>
        <w:t xml:space="preserve">, focusing on how the</w:t>
      </w:r>
      <w:r>
        <w:t xml:space="preserve"> </w:t>
      </w:r>
      <w:r>
        <w:rPr>
          <w:bCs/>
          <w:b/>
        </w:rPr>
        <w:t xml:space="preserve">Surgeon</w:t>
      </w:r>
      <w:r>
        <w:t xml:space="preserve">’s position within the healthcare system directly impacts population health equity.</w:t>
      </w:r>
    </w:p>
    <w:bookmarkEnd w:id="20"/>
    <w:bookmarkStart w:id="21" w:name="ii.-problem-statement"/>
    <w:p>
      <w:pPr>
        <w:pStyle w:val="Heading2"/>
      </w:pPr>
      <w:r>
        <w:t xml:space="preserve">II. Problem Statement</w:t>
      </w:r>
    </w:p>
    <w:p>
      <w:pPr>
        <w:pStyle w:val="FirstParagraph"/>
      </w:pPr>
      <w:r>
        <w:t xml:space="preserve">Auckland’s surgical services grapple with systemic pressures: a 17-month median wait for elective surgery (NZ Ministry of Health, 2023), disproportionate delays for Māori and Pacific patients (Waitangi Tribunal, 2021), and a surgical workforce shortage projected to worsen by 35% by 2030 (Auckland Medical Workforce Plan). Current models often treat the</w:t>
      </w:r>
      <w:r>
        <w:t xml:space="preserve"> </w:t>
      </w:r>
      <w:r>
        <w:rPr>
          <w:bCs/>
          <w:b/>
        </w:rPr>
        <w:t xml:space="preserve">Surgeon</w:t>
      </w:r>
      <w:r>
        <w:t xml:space="preserve"> </w:t>
      </w:r>
      <w:r>
        <w:t xml:space="preserve">as a technical resource rather than a cultural liaison, leading to fragmented care. For instance, Māori patients in Auckland experience higher rates of post-operative complications (18.7%) compared to non-Māori (10.2%) due to communication barriers and mistrust in Western medical systems (Waitematā DHB Report, 2022). This is not merely a clinical issue—it reflects a failure to integrate Te Tiriti o Waitangi principles into surgical practice within</w:t>
      </w:r>
      <w:r>
        <w:t xml:space="preserve"> </w:t>
      </w:r>
      <w:r>
        <w:rPr>
          <w:bCs/>
          <w:b/>
        </w:rPr>
        <w:t xml:space="preserve">New Zealand Auckland</w:t>
      </w:r>
      <w:r>
        <w:t xml:space="preserve">.</w:t>
      </w:r>
    </w:p>
    <w:bookmarkEnd w:id="21"/>
    <w:bookmarkStart w:id="22" w:name="iii.-research-aims-and-objectives"/>
    <w:p>
      <w:pPr>
        <w:pStyle w:val="Heading2"/>
      </w:pPr>
      <w:r>
        <w:t xml:space="preserve">III. Research Aims and Objectives</w:t>
      </w:r>
    </w:p>
    <w:p>
      <w:pPr>
        <w:pStyle w:val="FirstParagraph"/>
      </w:pPr>
      <w:r>
        <w:t xml:space="preserve">This study aims to develop and test a culturally embedded surgical care model for Auckland’s unique demographic landscape. Specific objectives are:</w:t>
      </w:r>
    </w:p>
    <w:p>
      <w:pPr>
        <w:numPr>
          <w:ilvl w:val="0"/>
          <w:numId w:val="1001"/>
        </w:numPr>
        <w:pStyle w:val="Compact"/>
      </w:pPr>
      <w:r>
        <w:rPr>
          <w:bCs/>
          <w:b/>
        </w:rPr>
        <w:t xml:space="preserve">Assess Surgical Workforce Gaps:</w:t>
      </w:r>
      <w:r>
        <w:t xml:space="preserve"> </w:t>
      </w:r>
      <w:r>
        <w:t xml:space="preserve">Quantify regional disparities in surgeon availability, specialty distribution, and cultural competency training across Auckland District Health Board (ADHB) facilities.</w:t>
      </w:r>
    </w:p>
    <w:p>
      <w:pPr>
        <w:numPr>
          <w:ilvl w:val="0"/>
          <w:numId w:val="1001"/>
        </w:numPr>
        <w:pStyle w:val="Compact"/>
      </w:pPr>
      <w:r>
        <w:rPr>
          <w:bCs/>
          <w:b/>
        </w:rPr>
        <w:t xml:space="preserve">Evaluate Patient-Centered Outcomes:</w:t>
      </w:r>
      <w:r>
        <w:t xml:space="preserve"> </w:t>
      </w:r>
      <w:r>
        <w:t xml:space="preserve">Measure how culturally safe interactions with the</w:t>
      </w:r>
      <w:r>
        <w:t xml:space="preserve"> </w:t>
      </w:r>
      <w:r>
        <w:rPr>
          <w:bCs/>
          <w:b/>
        </w:rPr>
        <w:t xml:space="preserve">Surgeon</w:t>
      </w:r>
      <w:r>
        <w:t xml:space="preserve"> </w:t>
      </w:r>
      <w:r>
        <w:t xml:space="preserve">influence patient adherence, satisfaction, and clinical outcomes among Māori and Pacific cohorts in Auckland public hospitals.</w:t>
      </w:r>
    </w:p>
    <w:p>
      <w:pPr>
        <w:numPr>
          <w:ilvl w:val="0"/>
          <w:numId w:val="1001"/>
        </w:numPr>
        <w:pStyle w:val="Compact"/>
      </w:pPr>
      <w:r>
        <w:rPr>
          <w:bCs/>
          <w:b/>
        </w:rPr>
        <w:t xml:space="preserve">Co-Design a Model for Sustainable Care:</w:t>
      </w:r>
      <w:r>
        <w:t xml:space="preserve"> </w:t>
      </w:r>
      <w:r>
        <w:t xml:space="preserve">Collaborate with iwi health providers (e.g., Te Whatu Ora), surgical teams, and community leaders to prototype a "Surgical Hub" integrating Māori health workers (</w:t>
      </w:r>
      <w:r>
        <w:rPr>
          <w:iCs/>
          <w:i/>
        </w:rPr>
        <w:t xml:space="preserve">kaiāwhina</w:t>
      </w:r>
      <w:r>
        <w:t xml:space="preserve">) alongside the</w:t>
      </w:r>
      <w:r>
        <w:t xml:space="preserve"> </w:t>
      </w:r>
      <w:r>
        <w:rPr>
          <w:bCs/>
          <w:b/>
        </w:rPr>
        <w:t xml:space="preserve">Surgeon</w:t>
      </w:r>
      <w:r>
        <w:t xml:space="preserve">.</w:t>
      </w:r>
    </w:p>
    <w:bookmarkEnd w:id="22"/>
    <w:bookmarkStart w:id="26" w:name="iv.-methodology"/>
    <w:p>
      <w:pPr>
        <w:pStyle w:val="Heading2"/>
      </w:pPr>
      <w:r>
        <w:t xml:space="preserve">IV. Methodology</w:t>
      </w:r>
    </w:p>
    <w:p>
      <w:pPr>
        <w:pStyle w:val="FirstParagraph"/>
      </w:pPr>
      <w:r>
        <w:t xml:space="preserve">The mixed-methods design combines quantitative data analysis with community co-creation:</w:t>
      </w:r>
    </w:p>
    <w:bookmarkStart w:id="23" w:name="a.-phase-1-data-audit-months-14"/>
    <w:p>
      <w:pPr>
        <w:pStyle w:val="Heading3"/>
      </w:pPr>
      <w:r>
        <w:t xml:space="preserve">A. Phase 1: Data Audit (Months 1–4)</w:t>
      </w:r>
    </w:p>
    <w:p>
      <w:pPr>
        <w:pStyle w:val="FirstParagraph"/>
      </w:pPr>
      <w:r>
        <w:t xml:space="preserve">Collate ADHB surgical waitlist data (2020–2023), demographic variables, and clinical outcomes. Stratify results by ethnicity, geography within Auckland (e.g., Manukau vs. City Centre), and surgeon specialty. Statistical analysis will identify correlation between cultural safety markers (e.g., use of Māori health workers) and reduced wait times for priority populations.</w:t>
      </w:r>
    </w:p>
    <w:bookmarkEnd w:id="23"/>
    <w:bookmarkStart w:id="24" w:name="Xa2c113fb8b2ef144cd0b4b75d8977de26afcf7f"/>
    <w:p>
      <w:pPr>
        <w:pStyle w:val="Heading3"/>
      </w:pPr>
      <w:r>
        <w:t xml:space="preserve">B. Phase 2: Stakeholder Engagement (Months 5–8)</w:t>
      </w:r>
    </w:p>
    <w:p>
      <w:pPr>
        <w:pStyle w:val="FirstParagraph"/>
      </w:pPr>
      <w:r>
        <w:t xml:space="preserve">Conduct focus groups with 120 patients from high-need Auckland communities, 40 surgeons across ADHB facilities, and key Māori health providers (e.g., Te Pīhopatanga o Aotearoa). Use Kaupapa Māori methodology to ensure protocols respect cultural protocols. Questions will explore barriers to trusting the</w:t>
      </w:r>
      <w:r>
        <w:t xml:space="preserve"> </w:t>
      </w:r>
      <w:r>
        <w:rPr>
          <w:bCs/>
          <w:b/>
        </w:rPr>
        <w:t xml:space="preserve">Surgeon</w:t>
      </w:r>
      <w:r>
        <w:t xml:space="preserve">, expectations of care, and desired support systems.</w:t>
      </w:r>
    </w:p>
    <w:bookmarkEnd w:id="24"/>
    <w:bookmarkStart w:id="25" w:name="c.-phase-3-model-development-months-915"/>
    <w:p>
      <w:pPr>
        <w:pStyle w:val="Heading3"/>
      </w:pPr>
      <w:r>
        <w:t xml:space="preserve">C. Phase 3: Model Development (Months 9–15)</w:t>
      </w:r>
    </w:p>
    <w:p>
      <w:pPr>
        <w:pStyle w:val="FirstParagraph"/>
      </w:pPr>
      <w:r>
        <w:t xml:space="preserve">Work with a Māori-led co-design team to adapt the "Surgical Hub" model. This includes embedding trained cultural navigators (</w:t>
      </w:r>
      <w:r>
        <w:rPr>
          <w:iCs/>
          <w:i/>
        </w:rPr>
        <w:t xml:space="preserve">kaiāwhina</w:t>
      </w:r>
      <w:r>
        <w:t xml:space="preserve">) in pre-op consultations, developing surgeon-specific cultural safety modules certified by Te Whatu Ora, and creating patient decision aids in te reo Māori and Pacific languages. The</w:t>
      </w:r>
      <w:r>
        <w:t xml:space="preserve"> </w:t>
      </w:r>
      <w:r>
        <w:rPr>
          <w:bCs/>
          <w:b/>
        </w:rPr>
        <w:t xml:space="preserve">Surgeon</w:t>
      </w:r>
      <w:r>
        <w:t xml:space="preserve"> </w:t>
      </w:r>
      <w:r>
        <w:t xml:space="preserve">will transition from sole decision-maker to coordinator of a holistic team.</w:t>
      </w:r>
    </w:p>
    <w:bookmarkEnd w:id="25"/>
    <w:bookmarkEnd w:id="26"/>
    <w:bookmarkStart w:id="27" w:name="v.-significance-for-new-zealand-auckland"/>
    <w:p>
      <w:pPr>
        <w:pStyle w:val="Heading2"/>
      </w:pPr>
      <w:r>
        <w:t xml:space="preserve">V. Significance for New Zealand Auckland</w:t>
      </w:r>
    </w:p>
    <w:p>
      <w:pPr>
        <w:pStyle w:val="FirstParagraph"/>
      </w:pPr>
      <w:r>
        <w:t xml:space="preserve">This research directly addresses Auckland’s 5-year Health Strategy priority: "Closing the Gap" in surgical access. By centering the</w:t>
      </w:r>
      <w:r>
        <w:t xml:space="preserve"> </w:t>
      </w:r>
      <w:r>
        <w:rPr>
          <w:bCs/>
          <w:b/>
        </w:rPr>
        <w:t xml:space="preserve">Surgeon</w:t>
      </w:r>
      <w:r>
        <w:t xml:space="preserve"> </w:t>
      </w:r>
      <w:r>
        <w:t xml:space="preserve">within a culturally grounded system, we target three critical issues:</w:t>
      </w:r>
    </w:p>
    <w:p>
      <w:pPr>
        <w:numPr>
          <w:ilvl w:val="0"/>
          <w:numId w:val="1002"/>
        </w:numPr>
        <w:pStyle w:val="Compact"/>
      </w:pPr>
      <w:r>
        <w:rPr>
          <w:bCs/>
          <w:b/>
        </w:rPr>
        <w:t xml:space="preserve">Ethnic Disparities:</w:t>
      </w:r>
      <w:r>
        <w:t xml:space="preserve"> </w:t>
      </w:r>
      <w:r>
        <w:t xml:space="preserve">Reducing Māori/Pacific wait times by 25% through trust-based pathways.</w:t>
      </w:r>
    </w:p>
    <w:p>
      <w:pPr>
        <w:numPr>
          <w:ilvl w:val="0"/>
          <w:numId w:val="1002"/>
        </w:numPr>
        <w:pStyle w:val="Compact"/>
      </w:pPr>
      <w:r>
        <w:rPr>
          <w:bCs/>
          <w:b/>
        </w:rPr>
        <w:t xml:space="preserve">Surgical Workforce Resilience:</w:t>
      </w:r>
      <w:r>
        <w:t xml:space="preserve"> </w:t>
      </w:r>
      <w:r>
        <w:t xml:space="preserve">Increasing retention of surgeons in Auckland via meaningful cultural integration, countering the national trend of 17% annual attrition.</w:t>
      </w:r>
    </w:p>
    <w:p>
      <w:pPr>
        <w:numPr>
          <w:ilvl w:val="0"/>
          <w:numId w:val="1002"/>
        </w:numPr>
        <w:pStyle w:val="Compact"/>
      </w:pPr>
      <w:r>
        <w:rPr>
          <w:bCs/>
          <w:b/>
        </w:rPr>
        <w:t xml:space="preserve">System Efficiency:</w:t>
      </w:r>
      <w:r>
        <w:t xml:space="preserve"> </w:t>
      </w:r>
      <w:r>
        <w:t xml:space="preserve">Preventing costly readmissions (estimated $28M annually in Auckland) by improving post-operative engagement through culturally safe surgeon-patient relationships.</w:t>
      </w:r>
    </w:p>
    <w:bookmarkEnd w:id="27"/>
    <w:bookmarkStart w:id="28" w:name="vi.-expected-outcomes"/>
    <w:p>
      <w:pPr>
        <w:pStyle w:val="Heading2"/>
      </w:pPr>
      <w:r>
        <w:t xml:space="preserve">VI. Expected Outcomes</w:t>
      </w:r>
    </w:p>
    <w:p>
      <w:pPr>
        <w:pStyle w:val="FirstParagraph"/>
      </w:pPr>
      <w:r>
        <w:t xml:space="preserve">We anticipate three deliverables with immediate impact on</w:t>
      </w:r>
      <w:r>
        <w:t xml:space="preserve"> </w:t>
      </w:r>
      <w:r>
        <w:rPr>
          <w:bCs/>
          <w:b/>
        </w:rPr>
        <w:t xml:space="preserve">New Zealand Auckland</w:t>
      </w:r>
      <w:r>
        <w:t xml:space="preserve">:</w:t>
      </w:r>
    </w:p>
    <w:p>
      <w:pPr>
        <w:numPr>
          <w:ilvl w:val="0"/>
          <w:numId w:val="1003"/>
        </w:numPr>
        <w:pStyle w:val="Compact"/>
      </w:pPr>
      <w:r>
        <w:rPr>
          <w:iCs/>
          <w:i/>
        </w:rPr>
        <w:t xml:space="preserve">Culturally Safe Surgical Toolkit:</w:t>
      </w:r>
      <w:r>
        <w:t xml:space="preserve"> </w:t>
      </w:r>
      <w:r>
        <w:t xml:space="preserve">A certified training program for surgeons in Auckland hospitals, integrating Māori health models and Pacific communication protocols.</w:t>
      </w:r>
    </w:p>
    <w:p>
      <w:pPr>
        <w:numPr>
          <w:ilvl w:val="0"/>
          <w:numId w:val="1003"/>
        </w:numPr>
        <w:pStyle w:val="Compact"/>
      </w:pPr>
      <w:r>
        <w:rPr>
          <w:iCs/>
          <w:i/>
        </w:rPr>
        <w:t xml:space="preserve">Surgical Access Dashboard:</w:t>
      </w:r>
      <w:r>
        <w:t xml:space="preserve"> </w:t>
      </w:r>
      <w:r>
        <w:t xml:space="preserve">An ADHB-facing tool predicting waitlist equity risks based on ethnicity, geography, and surgeon allocation—enabling proactive resource shifts.</w:t>
      </w:r>
    </w:p>
    <w:p>
      <w:pPr>
        <w:numPr>
          <w:ilvl w:val="0"/>
          <w:numId w:val="1003"/>
        </w:numPr>
        <w:pStyle w:val="Compact"/>
      </w:pPr>
      <w:r>
        <w:rPr>
          <w:iCs/>
          <w:i/>
        </w:rPr>
        <w:t xml:space="preserve">Policy Brief for Te Whatu Ora:</w:t>
      </w:r>
      <w:r>
        <w:t xml:space="preserve"> </w:t>
      </w:r>
      <w:r>
        <w:t xml:space="preserve">Evidence-based recommendations to embed cultural safety as a surgical performance metric in national healthcare funding models.</w:t>
      </w:r>
    </w:p>
    <w:bookmarkEnd w:id="28"/>
    <w:bookmarkStart w:id="29" w:name="vii.-ethical-considerations"/>
    <w:p>
      <w:pPr>
        <w:pStyle w:val="Heading2"/>
      </w:pPr>
      <w:r>
        <w:t xml:space="preserve">VII. Ethical Considerations</w:t>
      </w:r>
    </w:p>
    <w:p>
      <w:pPr>
        <w:pStyle w:val="FirstParagraph"/>
      </w:pPr>
      <w:r>
        <w:t xml:space="preserve">Research ethics will be guided by the Nga Whanau Tika framework (Māori Research Ethics), with all co-design processes requiring approval from Te Aka Whai Ora’s Māori Health Ethics Committee. Patient data will be anonymized and stored under Auckland’s Secure Health Data Platform. The research team includes two Māori surgeons and a Pacific health equity specialist to ensure cultural accountability.</w:t>
      </w:r>
    </w:p>
    <w:bookmarkEnd w:id="29"/>
    <w:bookmarkStart w:id="31" w:name="viii.-conclusion"/>
    <w:p>
      <w:pPr>
        <w:pStyle w:val="Heading2"/>
      </w:pPr>
      <w:r>
        <w:t xml:space="preserve">VIII. Conclusion</w:t>
      </w:r>
    </w:p>
    <w:p>
      <w:pPr>
        <w:pStyle w:val="FirstParagraph"/>
      </w:pPr>
      <w:r>
        <w:t xml:space="preserve">The future of surgical care in</w:t>
      </w:r>
      <w:r>
        <w:t xml:space="preserve"> </w:t>
      </w:r>
      <w:r>
        <w:rPr>
          <w:bCs/>
          <w:b/>
        </w:rPr>
        <w:t xml:space="preserve">New Zealand Auckland</w:t>
      </w:r>
      <w:r>
        <w:t xml:space="preserve"> </w:t>
      </w:r>
      <w:r>
        <w:t xml:space="preserve">hinges on reimagining the role of the surgeon as a culturally fluent leader within community-centered systems. This proposal transcends conventional workforce planning by anchoring equity in every interaction between surgeon and patient. By prioritizing Māori and Pacific perspectives from inception, our model will not only shorten waits but also rebuild trust—a prerequisite for sustainable health outcomes in Auckland’s diverse communities. We seek HRC partnership to transform surgical care from a clinical transaction into a foundation for health justice across</w:t>
      </w:r>
      <w:r>
        <w:t xml:space="preserve"> </w:t>
      </w:r>
      <w:r>
        <w:rPr>
          <w:bCs/>
          <w:b/>
        </w:rPr>
        <w:t xml:space="preserve">New Zealand Auckland</w:t>
      </w:r>
      <w:r>
        <w:t xml:space="preserve">. The time for surgeon-led cultural safety is now.</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Access and Outcomes in New Zealand Auckland</dc:title>
  <dc:creator/>
  <dc:language>en</dc:language>
  <cp:keywords/>
  <dcterms:created xsi:type="dcterms:W3CDTF">2025-12-09T13:15:08Z</dcterms:created>
  <dcterms:modified xsi:type="dcterms:W3CDTF">2025-12-09T13:15:08Z</dcterms:modified>
</cp:coreProperties>
</file>

<file path=docProps/custom.xml><?xml version="1.0" encoding="utf-8"?>
<Properties xmlns="http://schemas.openxmlformats.org/officeDocument/2006/custom-properties" xmlns:vt="http://schemas.openxmlformats.org/officeDocument/2006/docPropsVTypes"/>
</file>