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Qatar</w:t>
      </w:r>
      <w:r>
        <w:t xml:space="preserve"> </w:t>
      </w:r>
      <w:r>
        <w:t xml:space="preserve">Doha</w:t>
      </w:r>
    </w:p>
    <w:bookmarkStart w:id="28" w:name="X7ad0c447798abe08e48c34b683e87db3f3adfec"/>
    <w:p>
      <w:pPr>
        <w:pStyle w:val="Heading1"/>
      </w:pPr>
      <w:r>
        <w:t xml:space="preserve">Research Proposal: Advancing Surgical Excellence for Enhanced Patient Outcomes in Qatar Doha</w:t>
      </w:r>
    </w:p>
    <w:bookmarkStart w:id="20" w:name="introduction-and-background"/>
    <w:p>
      <w:pPr>
        <w:pStyle w:val="Heading2"/>
      </w:pPr>
      <w:r>
        <w:t xml:space="preserve">1. Introduction and Background</w:t>
      </w:r>
    </w:p>
    <w:p>
      <w:pPr>
        <w:pStyle w:val="FirstParagraph"/>
      </w:pPr>
      <w:r>
        <w:t xml:space="preserve">Qatar's national healthcare vision, encapsulated in the ambitious Qatar National Vision 2030, emphasizes world-class medical services as a cornerstone of sustainable development. Doha, as the vibrant capital city and healthcare hub of the nation, hosts cutting-edge facilities like Hamad Medical Corporation (HMC) and Sidra Medicine. However, despite significant infrastructure investments, a critical gap persists in optimizing</w:t>
      </w:r>
      <w:r>
        <w:t xml:space="preserve"> </w:t>
      </w:r>
      <w:r>
        <w:rPr>
          <w:bCs/>
          <w:b/>
        </w:rPr>
        <w:t xml:space="preserve">Surgeon</w:t>
      </w:r>
      <w:r>
        <w:t xml:space="preserve"> </w:t>
      </w:r>
      <w:r>
        <w:t xml:space="preserve">workforce capabilities to meet Qatar's evolving healthcare demands. This research proposal addresses the urgent need to enhance surgical excellence within Doha's unique socio-cultural and medical ecosystem, directly aligning with national health priorities while acknowledging the specialized role of every</w:t>
      </w:r>
      <w:r>
        <w:t xml:space="preserve"> </w:t>
      </w:r>
      <w:r>
        <w:rPr>
          <w:bCs/>
          <w:b/>
        </w:rPr>
        <w:t xml:space="preserve">Surgeon</w:t>
      </w:r>
      <w:r>
        <w:t xml:space="preserve"> </w:t>
      </w:r>
      <w:r>
        <w:t xml:space="preserve">in delivering safe, effective care.</w:t>
      </w:r>
    </w:p>
    <w:bookmarkEnd w:id="20"/>
    <w:bookmarkStart w:id="21" w:name="problem-statement"/>
    <w:p>
      <w:pPr>
        <w:pStyle w:val="Heading2"/>
      </w:pPr>
      <w:r>
        <w:t xml:space="preserve">2. Problem Statement</w:t>
      </w:r>
    </w:p>
    <w:p>
      <w:pPr>
        <w:pStyle w:val="FirstParagraph"/>
      </w:pPr>
      <w:r>
        <w:t xml:space="preserve">Qatar Doha faces a dual challenge in surgical services: rising demand due to population growth, aging demographics, and increasing prevalence of complex chronic conditions (e.g., cardiovascular disease and cancer), coupled with systemic constraints in surgeon retention and cultural competency. Current data reveals a 22% shortfall in specialized surgeons (cardiothoracic, neurosurgical) compared to WHO benchmarks for comparable populations. Furthermore, studies indicate that</w:t>
      </w:r>
      <w:r>
        <w:t xml:space="preserve"> </w:t>
      </w:r>
      <w:r>
        <w:rPr>
          <w:bCs/>
          <w:b/>
        </w:rPr>
        <w:t xml:space="preserve">Surgeon</w:t>
      </w:r>
      <w:r>
        <w:t xml:space="preserve">-patient communication gaps—rooted in language barriers and unaddressed cultural nuances—contribute to suboptimal post-operative adherence and patient satisfaction. This is particularly significant in Qatar's context where patients often hail from diverse cultural backgrounds while operating within a predominantly Muslim society with specific healthcare values. Without targeted interventions, these challenges risk undermining Qatar Doha's aspiration to become a regional medical excellence center.</w:t>
      </w:r>
    </w:p>
    <w:bookmarkEnd w:id="21"/>
    <w:bookmarkStart w:id="22" w:name="research-objectives"/>
    <w:p>
      <w:pPr>
        <w:pStyle w:val="Heading2"/>
      </w:pPr>
      <w:r>
        <w:t xml:space="preserve">3. Research Objectives</w:t>
      </w:r>
    </w:p>
    <w:p>
      <w:pPr>
        <w:pStyle w:val="FirstParagraph"/>
      </w:pPr>
      <w:r>
        <w:t xml:space="preserve">This study proposes a comprehensive investigation with the following specific objectives:</w:t>
      </w:r>
    </w:p>
    <w:p>
      <w:pPr>
        <w:numPr>
          <w:ilvl w:val="0"/>
          <w:numId w:val="1001"/>
        </w:numPr>
        <w:pStyle w:val="Compact"/>
      </w:pPr>
      <w:r>
        <w:rPr>
          <w:bCs/>
          <w:b/>
        </w:rPr>
        <w:t xml:space="preserve">Objective 1:</w:t>
      </w:r>
      <w:r>
        <w:t xml:space="preserve"> </w:t>
      </w:r>
      <w:r>
        <w:t xml:space="preserve">Quantify the current distribution, specialization gaps, and workload pressures affecting</w:t>
      </w:r>
      <w:r>
        <w:t xml:space="preserve"> </w:t>
      </w:r>
      <w:r>
        <w:rPr>
          <w:bCs/>
          <w:b/>
        </w:rPr>
        <w:t xml:space="preserve">Surgeon</w:t>
      </w:r>
      <w:r>
        <w:t xml:space="preserve">s across major healthcare institutions in Doha.</w:t>
      </w:r>
    </w:p>
    <w:p>
      <w:pPr>
        <w:numPr>
          <w:ilvl w:val="0"/>
          <w:numId w:val="1001"/>
        </w:numPr>
        <w:pStyle w:val="Compact"/>
      </w:pPr>
      <w:r>
        <w:rPr>
          <w:bCs/>
          <w:b/>
        </w:rPr>
        <w:t xml:space="preserve">Objective 2:</w:t>
      </w:r>
      <w:r>
        <w:t xml:space="preserve"> </w:t>
      </w:r>
      <w:r>
        <w:t xml:space="preserve">Identify culturally specific barriers influencing surgeon-patient interactions in Qatar's diverse clinical settings (e.g., communication styles, family involvement norms, religious considerations).</w:t>
      </w:r>
    </w:p>
    <w:p>
      <w:pPr>
        <w:numPr>
          <w:ilvl w:val="0"/>
          <w:numId w:val="1001"/>
        </w:numPr>
        <w:pStyle w:val="Compact"/>
      </w:pPr>
      <w:r>
        <w:rPr>
          <w:bCs/>
          <w:b/>
        </w:rPr>
        <w:t xml:space="preserve">Objective 3:</w:t>
      </w:r>
      <w:r>
        <w:t xml:space="preserve"> </w:t>
      </w:r>
      <w:r>
        <w:t xml:space="preserve">Develop and validate a culturally adapted training framework for surgical teams to enhance patient-centered care within the Qatari context.</w:t>
      </w:r>
    </w:p>
    <w:p>
      <w:pPr>
        <w:numPr>
          <w:ilvl w:val="0"/>
          <w:numId w:val="1001"/>
        </w:numPr>
        <w:pStyle w:val="Compact"/>
      </w:pPr>
      <w:r>
        <w:rPr>
          <w:bCs/>
          <w:b/>
        </w:rPr>
        <w:t xml:space="preserve">Objective 4:</w:t>
      </w:r>
      <w:r>
        <w:t xml:space="preserve"> </w:t>
      </w:r>
      <w:r>
        <w:t xml:space="preserve">Propose evidence-based policy recommendations to optimize surgeon recruitment, retention, and professional development strategies for Qatar Doha's healthcare system.</w:t>
      </w:r>
    </w:p>
    <w:bookmarkEnd w:id="22"/>
    <w:bookmarkStart w:id="23" w:name="X8ab019724680157256200c7b8c4cf17519ebaed"/>
    <w:p>
      <w:pPr>
        <w:pStyle w:val="Heading2"/>
      </w:pPr>
      <w:r>
        <w:t xml:space="preserve">4. Literature Review (Contextualizing the Qatar Doha Scenario)</w:t>
      </w:r>
    </w:p>
    <w:p>
      <w:pPr>
        <w:pStyle w:val="FirstParagraph"/>
      </w:pPr>
      <w:r>
        <w:t xml:space="preserve">While global literature extensively covers surgeon workforce challenges, few studies focus on Gulf Cooperation Council (GCC) settings or Qatar specifically. International research highlights that cultural competence training significantly improves patient outcomes in multicultural environments. However, these models often fail to account for the unique religious and social fabric of Qatar, where Islamic principles deeply influence healthcare decisions. Studies by Al-Subaie et al. (2021) noted that Qatari patients value family consultation in treatment plans—a practice not always accommodated by Western-influenced surgical protocols. This research bridges this critical gap, positioning Qatar Doha as a pivotal case study for developing context-specific surgical excellence frameworks applicable to rapidly urbanizing, diverse Gulf nations.</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A mixed-methods sequential design combining quantitative surveys and qualitative focus groups will be employed over 18 months.</w:t>
      </w:r>
    </w:p>
    <w:p>
      <w:pPr>
        <w:pStyle w:val="BodyText"/>
      </w:pPr>
      <w:r>
        <w:rPr>
          <w:bCs/>
          <w:b/>
        </w:rPr>
        <w:t xml:space="preserve">Data Collection:</w:t>
      </w:r>
    </w:p>
    <w:p>
      <w:pPr>
        <w:numPr>
          <w:ilvl w:val="0"/>
          <w:numId w:val="1002"/>
        </w:numPr>
        <w:pStyle w:val="Compact"/>
      </w:pPr>
      <w:r>
        <w:rPr>
          <w:iCs/>
          <w:i/>
        </w:rPr>
        <w:t xml:space="preserve">Phase 1 (Quantitative):</w:t>
      </w:r>
      <w:r>
        <w:t xml:space="preserve"> </w:t>
      </w:r>
      <w:r>
        <w:t xml:space="preserve">Survey of all practicing surgeons (n=300) across Doha's public and private hospitals via HMC and MOH. Measures will include workload metrics, perceived barriers, cultural competency scores, and retention intentions.</w:t>
      </w:r>
    </w:p>
    <w:p>
      <w:pPr>
        <w:numPr>
          <w:ilvl w:val="0"/>
          <w:numId w:val="1002"/>
        </w:numPr>
        <w:pStyle w:val="Compact"/>
      </w:pPr>
      <w:r>
        <w:rPr>
          <w:iCs/>
          <w:i/>
        </w:rPr>
        <w:t xml:space="preserve">Phase 2 (Qualitative):</w:t>
      </w:r>
      <w:r>
        <w:t xml:space="preserve"> </w:t>
      </w:r>
      <w:r>
        <w:t xml:space="preserve">Focus groups with 45 diverse patients (across age/gender/cultural backgrounds) post-surgery to explore communication experiences. Concurrently, in-depth interviews with 20 senior</w:t>
      </w:r>
      <w:r>
        <w:t xml:space="preserve"> </w:t>
      </w:r>
      <w:r>
        <w:rPr>
          <w:bCs/>
          <w:b/>
        </w:rPr>
        <w:t xml:space="preserve">Surgeon</w:t>
      </w:r>
      <w:r>
        <w:t xml:space="preserve">s and hospital administrators will identify systemic challenges.</w:t>
      </w:r>
    </w:p>
    <w:p>
      <w:pPr>
        <w:numPr>
          <w:ilvl w:val="0"/>
          <w:numId w:val="1002"/>
        </w:numPr>
        <w:pStyle w:val="Compact"/>
      </w:pPr>
      <w:r>
        <w:rPr>
          <w:iCs/>
          <w:i/>
        </w:rPr>
        <w:t xml:space="preserve">Phase 3:</w:t>
      </w:r>
      <w:r>
        <w:t xml:space="preserve"> </w:t>
      </w:r>
      <w:r>
        <w:t xml:space="preserve">Co-design workshops involving surgeons, cultural consultants, and patient advocates to develop the proposed training framework.</w:t>
      </w:r>
    </w:p>
    <w:p>
      <w:pPr>
        <w:pStyle w:val="FirstParagraph"/>
      </w:pPr>
      <w:r>
        <w:rPr>
          <w:bCs/>
          <w:b/>
        </w:rPr>
        <w:t xml:space="preserve">Data Analysis:</w:t>
      </w:r>
      <w:r>
        <w:t xml:space="preserve"> </w:t>
      </w:r>
      <w:r>
        <w:t xml:space="preserve">Statistical analysis (SPSS) for quantitative data; thematic analysis (NVivo) for qualitative transcripts. Triangulation will ensure robust findings.</w:t>
      </w:r>
    </w:p>
    <w:bookmarkEnd w:id="24"/>
    <w:bookmarkStart w:id="25" w:name="expected-outcomes-and-significance"/>
    <w:p>
      <w:pPr>
        <w:pStyle w:val="Heading2"/>
      </w:pPr>
      <w:r>
        <w:t xml:space="preserve">6. Expected Outcomes and Significance</w:t>
      </w:r>
    </w:p>
    <w:p>
      <w:pPr>
        <w:pStyle w:val="FirstParagraph"/>
      </w:pPr>
      <w:r>
        <w:t xml:space="preserve">This research will yield four key deliverables:</w:t>
      </w:r>
    </w:p>
    <w:p>
      <w:pPr>
        <w:numPr>
          <w:ilvl w:val="0"/>
          <w:numId w:val="1003"/>
        </w:numPr>
        <w:pStyle w:val="Compact"/>
      </w:pPr>
      <w:r>
        <w:t xml:space="preserve">A detailed mapping of surgical workforce gaps across Doha, including specialty-specific shortages.</w:t>
      </w:r>
    </w:p>
    <w:p>
      <w:pPr>
        <w:numPr>
          <w:ilvl w:val="0"/>
          <w:numId w:val="1003"/>
        </w:numPr>
        <w:pStyle w:val="Compact"/>
      </w:pPr>
      <w:r>
        <w:t xml:space="preserve">Identification of 3-5 critical cultural communication barriers specific to Qatar's patient-surgeon interactions.</w:t>
      </w:r>
    </w:p>
    <w:p>
      <w:pPr>
        <w:numPr>
          <w:ilvl w:val="0"/>
          <w:numId w:val="1003"/>
        </w:numPr>
        <w:pStyle w:val="Compact"/>
      </w:pPr>
      <w:r>
        <w:t xml:space="preserve">A validated "Culturally Responsive Surgical Practice Toolkit" incorporating Qatari religious values, family dynamics, and modern medical ethics—tailored for Doha institutions.</w:t>
      </w:r>
    </w:p>
    <w:p>
      <w:pPr>
        <w:numPr>
          <w:ilvl w:val="0"/>
          <w:numId w:val="1003"/>
        </w:numPr>
        <w:pStyle w:val="Compact"/>
      </w:pPr>
      <w:r>
        <w:t xml:space="preserve">Actionable policy briefs for Qatar’s Ministry of Health (MOH) on surgeon recruitment incentives (e.g., housing, language training), retention programs, and mandatory cultural competency modules integrated into surgical residency curricula.</w:t>
      </w:r>
    </w:p>
    <w:p>
      <w:pPr>
        <w:pStyle w:val="FirstParagraph"/>
      </w:pPr>
      <w:r>
        <w:t xml:space="preserve">The significance extends beyond Doha. As a model for healthcare in rapidly developing Middle Eastern nations, this research will directly support Qatar National Vision 2030 goals of "excellence in health services" and "human development." Enhanced surgical outcomes will reduce hospital readmissions, improve patient trust (a key factor in Qatar's healthcare quality index), and strengthen Doha’s position as a medical tourism destination. Crucially, every</w:t>
      </w:r>
      <w:r>
        <w:t xml:space="preserve"> </w:t>
      </w:r>
      <w:r>
        <w:rPr>
          <w:bCs/>
          <w:b/>
        </w:rPr>
        <w:t xml:space="preserve">Surgeon</w:t>
      </w:r>
      <w:r>
        <w:t xml:space="preserve"> </w:t>
      </w:r>
      <w:r>
        <w:t xml:space="preserve">equipped with culturally informed skills becomes a catalyst for safer, more effective care—transforming individual practice into systemic advancement.</w:t>
      </w:r>
    </w:p>
    <w:bookmarkEnd w:id="25"/>
    <w:bookmarkStart w:id="26" w:name="timeline-and-resources"/>
    <w:p>
      <w:pPr>
        <w:pStyle w:val="Heading2"/>
      </w:pPr>
      <w:r>
        <w:t xml:space="preserve">7. Timeline and Resources</w:t>
      </w:r>
    </w:p>
    <w:p>
      <w:pPr>
        <w:pStyle w:val="FirstParagraph"/>
      </w:pPr>
      <w:r>
        <w:rPr>
          <w:bCs/>
          <w:b/>
        </w:rPr>
        <w:t xml:space="preserve">Project Duration:</w:t>
      </w:r>
      <w:r>
        <w:t xml:space="preserve"> </w:t>
      </w:r>
      <w:r>
        <w:t xml:space="preserve">18 Months (January 2025 – June 2026)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Preparation &amp; Instrument Design</w:t>
            </w:r>
          </w:p>
        </w:tc>
        <w:tc>
          <w:tcPr/>
          <w:p>
            <w:pPr>
              <w:pStyle w:val="Compact"/>
              <w:jc w:val="left"/>
            </w:pPr>
            <w:r>
              <w:t xml:space="preserve">Months 1-3</w:t>
            </w:r>
          </w:p>
        </w:tc>
        <w:tc>
          <w:tcPr/>
          <w:p>
            <w:pPr>
              <w:pStyle w:val="Compact"/>
              <w:jc w:val="left"/>
            </w:pPr>
            <w:r>
              <w:t xml:space="preserve">Lit review; Survey/tool development; Ethics approval (MOH, Qatar University)</w:t>
            </w:r>
          </w:p>
        </w:tc>
      </w:tr>
      <w:tr>
        <w:tc>
          <w:tcPr/>
          <w:p>
            <w:pPr>
              <w:pStyle w:val="Compact"/>
              <w:jc w:val="left"/>
            </w:pPr>
            <w:r>
              <w:t xml:space="preserve">Data Collection</w:t>
            </w:r>
          </w:p>
        </w:tc>
        <w:tc>
          <w:tcPr/>
          <w:p>
            <w:pPr>
              <w:pStyle w:val="Compact"/>
              <w:jc w:val="left"/>
            </w:pPr>
            <w:r>
              <w:t xml:space="preserve">Months 4-10</w:t>
            </w:r>
          </w:p>
        </w:tc>
        <w:tc>
          <w:tcPr/>
          <w:p>
            <w:pPr>
              <w:pStyle w:val="Compact"/>
              <w:jc w:val="left"/>
            </w:pPr>
            <w:r>
              <w:t xml:space="preserve">Surveys, Focus Groups, Interviews across Doha hospitals</w:t>
            </w:r>
          </w:p>
        </w:tc>
      </w:tr>
      <w:tr>
        <w:tc>
          <w:tcPr/>
          <w:p>
            <w:pPr>
              <w:pStyle w:val="Compact"/>
              <w:jc w:val="left"/>
            </w:pPr>
            <w:r>
              <w:t xml:space="preserve">Data Analysis &amp; Framework Development</w:t>
            </w:r>
          </w:p>
        </w:tc>
        <w:tc>
          <w:tcPr/>
          <w:p>
            <w:pPr>
              <w:pStyle w:val="Compact"/>
              <w:jc w:val="left"/>
            </w:pPr>
            <w:r>
              <w:t xml:space="preserve">Months 11-14</w:t>
            </w:r>
          </w:p>
        </w:tc>
        <w:tc>
          <w:tcPr/>
          <w:p>
            <w:pPr>
              <w:pStyle w:val="Compact"/>
              <w:jc w:val="left"/>
            </w:pPr>
            <w:r>
              <w:t xml:space="preserve">Statistical analysis; Thematic coding; Toolkit co-creation workshops</w:t>
            </w:r>
          </w:p>
        </w:tc>
      </w:tr>
      <w:tr>
        <w:tc>
          <w:tcPr/>
          <w:p>
            <w:pPr>
              <w:pStyle w:val="Compact"/>
              <w:jc w:val="left"/>
            </w:pPr>
            <w:r>
              <w:t xml:space="preserve">Dissemination &amp; Policy Integration</w:t>
            </w:r>
          </w:p>
        </w:tc>
        <w:tc>
          <w:tcPr/>
          <w:p>
            <w:pPr>
              <w:pStyle w:val="Compact"/>
              <w:jc w:val="left"/>
            </w:pPr>
            <w:r>
              <w:t xml:space="preserve">Months 15-18</w:t>
            </w:r>
          </w:p>
        </w:tc>
        <w:tc>
          <w:tcPr/>
          <w:p>
            <w:pPr>
              <w:pStyle w:val="Compact"/>
              <w:jc w:val="left"/>
            </w:pPr>
            <w:r>
              <w:t xml:space="preserve">Final report; MOH presentation; Toolkit implementation pilot at HMC</w:t>
            </w:r>
          </w:p>
        </w:tc>
      </w:tr>
    </w:tbl>
    <w:bookmarkEnd w:id="26"/>
    <w:bookmarkStart w:id="27" w:name="X97e18e7bffd6ff2ef2c1c515bedad67b0bf38b6"/>
    <w:p>
      <w:pPr>
        <w:pStyle w:val="Heading2"/>
      </w:pPr>
      <w:r>
        <w:t xml:space="preserve">8. Conclusion: The Imperative for Surgical Excellence in Qatar Doha</w:t>
      </w:r>
    </w:p>
    <w:p>
      <w:pPr>
        <w:pStyle w:val="FirstParagraph"/>
      </w:pPr>
      <w:r>
        <w:t xml:space="preserve">This research proposal addresses a critical nexus where national ambition, healthcare delivery, and human expertise converge. In Qatar Doha, the role of the</w:t>
      </w:r>
      <w:r>
        <w:t xml:space="preserve"> </w:t>
      </w:r>
      <w:r>
        <w:rPr>
          <w:bCs/>
          <w:b/>
        </w:rPr>
        <w:t xml:space="preserve">Surgeon</w:t>
      </w:r>
      <w:r>
        <w:t xml:space="preserve"> </w:t>
      </w:r>
      <w:r>
        <w:t xml:space="preserve">transcends technical skill—it embodies trust, cultural resonance, and national health progress. By systematically investigating workforce dynamics and cultural integration within our unique context, this study will empower every surgeon to operate at their highest potential while deeply respecting Qatari identity. The resulting framework will not only close critical gaps in surgical service but also establish a replicable model for healthcare excellence across the Middle East. As Qatar continues its journey toward becoming a global health leader, investing in the expertise and cultural fluency of its surgeons is not merely beneficial—it is fundamental to delivering on the promise of Vision 2030. This project represents a vital step toward ensuring that every patient in Doha receives surgical care that is both world-class and authentically compassionate.</w:t>
      </w:r>
    </w:p>
    <w:p>
      <w:pPr>
        <w:pStyle w:val="BodyText"/>
      </w:pPr>
      <w: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Qatar Doha</dc:title>
  <dc:creator/>
  <dc:language>en</dc:language>
  <cp:keywords/>
  <dcterms:created xsi:type="dcterms:W3CDTF">2026-07-14T16:20:56Z</dcterms:created>
  <dcterms:modified xsi:type="dcterms:W3CDTF">2026-07-14T16:20:56Z</dcterms:modified>
</cp:coreProperties>
</file>

<file path=docProps/custom.xml><?xml version="1.0" encoding="utf-8"?>
<Properties xmlns="http://schemas.openxmlformats.org/officeDocument/2006/custom-properties" xmlns:vt="http://schemas.openxmlformats.org/officeDocument/2006/docPropsVTypes"/>
</file>