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Russia</w:t>
      </w:r>
      <w:r>
        <w:t xml:space="preserve"> </w:t>
      </w:r>
      <w:r>
        <w:t xml:space="preserve">Moscow</w:t>
      </w:r>
    </w:p>
    <w:bookmarkStart w:id="31" w:name="Xb2977a045afe042f3e732298386b89f0564870b"/>
    <w:p>
      <w:pPr>
        <w:pStyle w:val="Heading1"/>
      </w:pPr>
      <w:r>
        <w:t xml:space="preserve">Research Proposal: Optimizing Surgical Care Delivery Systems for Modern Surgeons in Russia Moscow</w:t>
      </w:r>
    </w:p>
    <w:bookmarkStart w:id="20" w:name="introduction-and-background"/>
    <w:p>
      <w:pPr>
        <w:pStyle w:val="Heading2"/>
      </w:pPr>
      <w:r>
        <w:t xml:space="preserve">1. Introduction and Background</w:t>
      </w:r>
    </w:p>
    <w:p>
      <w:pPr>
        <w:pStyle w:val="FirstParagraph"/>
      </w:pPr>
      <w:r>
        <w:t xml:space="preserve">The healthcare landscape of Russia, particularly in its sprawling capital Moscow, faces unprecedented challenges in surgical care delivery. As a Research Proposal addressing systemic gaps in surgical services, this study focuses on the critical role of the Surgeon within Moscow's complex healthcare infrastructure. With Russia's population exceeding 145 million and Moscow housing over 13 million residents, demand for high-acuity surgical interventions continues to outpace resource allocation. This Research Proposal emerges from urgent observations that contemporary surgical practice in Russia Moscow remains fragmented, under-resourced, and insufficiently integrated with emerging medical technologies. The current state necessitates a targeted investigation into how modernizing surgical workflows can elevate patient outcomes while supporting Surgeons navigating increasingly complex clinical environments.</w:t>
      </w:r>
    </w:p>
    <w:bookmarkEnd w:id="20"/>
    <w:bookmarkStart w:id="21" w:name="research-problem-statement"/>
    <w:p>
      <w:pPr>
        <w:pStyle w:val="Heading2"/>
      </w:pPr>
      <w:r>
        <w:t xml:space="preserve">2. Research Problem Statement</w:t>
      </w:r>
    </w:p>
    <w:p>
      <w:pPr>
        <w:pStyle w:val="FirstParagraph"/>
      </w:pPr>
      <w:r>
        <w:t xml:space="preserve">Despite Moscow's status as Russia's premier medical hub, significant disparities persist in surgical care accessibility and quality. Key issues include: (1) 40% of Moscow's public hospitals lack robotic-assisted surgery capabilities despite international evidence supporting superior outcomes; (2) Surgeon burnout rates exceed 65% due to unsustainable workloads; (3) Critical delays in emergency surgical interventions average 97 minutes for trauma cases – far above WHO safety benchmarks. This Research Proposal directly addresses the urgent need to re-engineer surgical service delivery frameworks specifically for Russia Moscow, recognizing that the Surgeon's effectiveness is intrinsically linked to systemic support structures rather than individual capability alone.</w:t>
      </w:r>
    </w:p>
    <w:bookmarkEnd w:id="21"/>
    <w:bookmarkStart w:id="22" w:name="research-objectives"/>
    <w:p>
      <w:pPr>
        <w:pStyle w:val="Heading2"/>
      </w:pPr>
      <w:r>
        <w:t xml:space="preserve">3. Research Objectives</w:t>
      </w:r>
    </w:p>
    <w:p>
      <w:pPr>
        <w:pStyle w:val="FirstParagraph"/>
      </w:pPr>
      <w:r>
        <w:t xml:space="preserve">This comprehensive Research Proposal establishes three interdependent objectives:</w:t>
      </w:r>
    </w:p>
    <w:p>
      <w:pPr>
        <w:numPr>
          <w:ilvl w:val="0"/>
          <w:numId w:val="1001"/>
        </w:numPr>
        <w:pStyle w:val="Compact"/>
      </w:pPr>
      <w:r>
        <w:rPr>
          <w:bCs/>
          <w:b/>
        </w:rPr>
        <w:t xml:space="preserve">Assess Current Surgical Ecosystems</w:t>
      </w:r>
      <w:r>
        <w:t xml:space="preserve">: Conduct a granular audit of 15 major Moscow hospitals (including Central Clinical Hospital and Moscow City Clinical Hospital #1) to map surgical workflow bottlenecks, technology adoption levels, and Surgeon resource allocation patterns across specialties (cardiothoracic, oncological, trauma).</w:t>
      </w:r>
    </w:p>
    <w:p>
      <w:pPr>
        <w:numPr>
          <w:ilvl w:val="0"/>
          <w:numId w:val="1001"/>
        </w:numPr>
        <w:pStyle w:val="Compact"/>
      </w:pPr>
      <w:r>
        <w:rPr>
          <w:bCs/>
          <w:b/>
        </w:rPr>
        <w:t xml:space="preserve">Identify Surgeon-Centric Barriers</w:t>
      </w:r>
      <w:r>
        <w:t xml:space="preserve">: Through structured interviews with 200+ practicing Surgeons in Russia Moscow (50% female representation), analyze psychological stressors, equipment limitations, and administrative impediments impeding optimal clinical decision-making.</w:t>
      </w:r>
    </w:p>
    <w:p>
      <w:pPr>
        <w:numPr>
          <w:ilvl w:val="0"/>
          <w:numId w:val="1001"/>
        </w:numPr>
        <w:pStyle w:val="Compact"/>
      </w:pPr>
      <w:r>
        <w:rPr>
          <w:bCs/>
          <w:b/>
        </w:rPr>
        <w:t xml:space="preserve">Develop Evidence-Based Intervention Framework</w:t>
      </w:r>
      <w:r>
        <w:t xml:space="preserve">: Co-create a scalable surgical optimization model with Moscow healthcare administrators, integrating telemedicine for remote consultations and AI-driven predictive analytics to reduce preoperative delays by 35% within 18 months.</w:t>
      </w:r>
    </w:p>
    <w:bookmarkEnd w:id="22"/>
    <w:bookmarkStart w:id="26" w:name="methodology"/>
    <w:p>
      <w:pPr>
        <w:pStyle w:val="Heading2"/>
      </w:pPr>
      <w:r>
        <w:t xml:space="preserve">4. Methodology</w:t>
      </w:r>
    </w:p>
    <w:p>
      <w:pPr>
        <w:pStyle w:val="FirstParagraph"/>
      </w:pPr>
      <w:r>
        <w:t xml:space="preserve">This mixed-methods Research Proposal employs a three-phase approach:</w:t>
      </w:r>
    </w:p>
    <w:bookmarkStart w:id="23" w:name="Xf184171a93bffdd5ac7c8003b3f58116cc477b3"/>
    <w:p>
      <w:pPr>
        <w:pStyle w:val="Heading3"/>
      </w:pPr>
      <w:r>
        <w:t xml:space="preserve">Phase 1: Quantitative Baseline Assessment (Months 1-4)</w:t>
      </w:r>
    </w:p>
    <w:p>
      <w:pPr>
        <w:pStyle w:val="FirstParagraph"/>
      </w:pPr>
      <w:r>
        <w:t xml:space="preserve">Deploy digital workflow trackers across participating Moscow hospitals to collect real-time data on surgical case volumes, operating room turnover times, and complication rates. Utilize Russia's Federal Medical Biological Agency (FMBA) healthcare databases for population-level outcome analysis.</w:t>
      </w:r>
    </w:p>
    <w:bookmarkEnd w:id="23"/>
    <w:bookmarkStart w:id="24" w:name="Xdc1b4ed11770141da4079aff5b07e31a576fa63"/>
    <w:p>
      <w:pPr>
        <w:pStyle w:val="Heading3"/>
      </w:pPr>
      <w:r>
        <w:t xml:space="preserve">Phase 2: Qualitative Surgeon Experience Mapping (Months 5-8)</w:t>
      </w:r>
    </w:p>
    <w:p>
      <w:pPr>
        <w:pStyle w:val="FirstParagraph"/>
      </w:pPr>
      <w:r>
        <w:t xml:space="preserve">Conduct focus groups with diverse surgical teams in Moscow, including specialists at the First Moscow State Medical University. Employ validated psychological assessment tools to measure burnout severity and its correlation with institutional factors. Crucially, this phase centers the Surgeon's lived experience as the primary data source.</w:t>
      </w:r>
    </w:p>
    <w:bookmarkEnd w:id="24"/>
    <w:bookmarkStart w:id="25" w:name="X186106295e10e787ec8106dc7c5c3437b4fae99"/>
    <w:p>
      <w:pPr>
        <w:pStyle w:val="Heading3"/>
      </w:pPr>
      <w:r>
        <w:t xml:space="preserve">Phase 3: Intervention Co-Design &amp; Pilot (Months 9-18)</w:t>
      </w:r>
    </w:p>
    <w:p>
      <w:pPr>
        <w:pStyle w:val="FirstParagraph"/>
      </w:pPr>
      <w:r>
        <w:t xml:space="preserve">Collaborate with Moscow Department of Healthcare to implement targeted pilots at two flagship hospitals. Interventions include: a) AI triage systems for emergency cases; b) standardized surgical checklists aligned with WHO protocols; c) "Surgeon Resilience" training modules addressing Russia-specific stressors. Success metrics will track reductions in 30-day mortality, OR utilization rates, and Surgeon satisfaction scores.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promises transformative outcomes for surgical practice across Russia Moscow. We anticipate:</w:t>
      </w:r>
    </w:p>
    <w:p>
      <w:pPr>
        <w:numPr>
          <w:ilvl w:val="0"/>
          <w:numId w:val="1002"/>
        </w:numPr>
        <w:pStyle w:val="Compact"/>
      </w:pPr>
      <w:r>
        <w:t xml:space="preserve">A validated "Moscow Surgical Excellence Index" benchmarking hospital performance against global standards.</w:t>
      </w:r>
    </w:p>
    <w:p>
      <w:pPr>
        <w:numPr>
          <w:ilvl w:val="0"/>
          <w:numId w:val="1002"/>
        </w:numPr>
        <w:pStyle w:val="Compact"/>
      </w:pPr>
      <w:r>
        <w:t xml:space="preserve">Policy recommendations for the Moscow Health Ministry to prioritize surgical technology investments in state budget allocations.</w:t>
      </w:r>
    </w:p>
    <w:p>
      <w:pPr>
        <w:numPr>
          <w:ilvl w:val="0"/>
          <w:numId w:val="1002"/>
        </w:numPr>
        <w:pStyle w:val="Compact"/>
      </w:pPr>
      <w:r>
        <w:t xml:space="preserve">A Surgeon well-being protocol adapted for Russia's healthcare culture, addressing unique factors like seasonal stressors and resource scarcity during winter months.</w:t>
      </w:r>
    </w:p>
    <w:p>
      <w:pPr>
        <w:numPr>
          <w:ilvl w:val="0"/>
          <w:numId w:val="1002"/>
        </w:numPr>
        <w:pStyle w:val="Compact"/>
      </w:pPr>
      <w:r>
        <w:t xml:space="preserve">A scalable model applicable beyond Moscow – potentially transforming surgical care across 47 Russian regions within 5 years.</w:t>
      </w:r>
    </w:p>
    <w:p>
      <w:pPr>
        <w:pStyle w:val="FirstParagraph"/>
      </w:pPr>
      <w:r>
        <w:t xml:space="preserve">The significance of this Research Proposal extends beyond clinical metrics. By positioning the Surgeon not as an isolated clinician but as the central node in a systemic network, we address Russia Moscow's critical need to retain surgical talent amid global competition for medical professionals. Our findings will directly inform the Ministry of Health's "National Surgical Development Program 2030," with Moscow serving as its primary testing ground.</w:t>
      </w:r>
    </w:p>
    <w:bookmarkEnd w:id="27"/>
    <w:bookmarkStart w:id="28" w:name="implementation-timeline"/>
    <w:p>
      <w:pPr>
        <w:pStyle w:val="Heading2"/>
      </w:pPr>
      <w:r>
        <w:t xml:space="preserve">6. Implementation Timeline</w:t>
      </w:r>
    </w:p>
    <w:p>
      <w:pPr>
        <w:pStyle w:val="FirstParagraph"/>
      </w:pPr>
      <w:r>
        <w:t xml:space="preserve">Quarter</w:t>
      </w:r>
    </w:p>
    <w:p>
      <w:pPr>
        <w:pStyle w:val="BodyText"/>
      </w:pPr>
      <w:r>
        <w:t xml:space="preserve">Key Milestones (Russia Moscow Focus)</w:t>
      </w:r>
    </w:p>
    <w:p>
      <w:pPr>
        <w:pStyle w:val="BodyText"/>
      </w:pPr>
      <w:r>
        <w:t xml:space="preserve">Q1-Q2</w:t>
      </w:r>
    </w:p>
    <w:p>
      <w:pPr>
        <w:pStyle w:val="BodyText"/>
      </w:pPr>
      <w:r>
        <w:t xml:space="preserve">Establish hospital partnerships across Moscow's municipal healthcare cluster; finalize data-sharing agreements with FMBA.</w:t>
      </w:r>
    </w:p>
    <w:p>
      <w:pPr>
        <w:pStyle w:val="BodyText"/>
      </w:pPr>
      <w:r>
        <w:t xml:space="preserve">Q3-Q4</w:t>
      </w:r>
    </w:p>
    <w:p>
      <w:pPr>
        <w:pStyle w:val="BodyText"/>
      </w:pPr>
      <w:r>
        <w:t xml:space="preserve">Deploy workflow tracking tools in 8 Moscow hospitals; initiate Surgeon interviews across all 5 city districts.</w:t>
      </w:r>
    </w:p>
    <w:p>
      <w:pPr>
        <w:pStyle w:val="BodyText"/>
      </w:pPr>
      <w:r>
        <w:t xml:space="preserve">Q5-Q6</w:t>
      </w:r>
    </w:p>
    <w:p>
      <w:pPr>
        <w:pStyle w:val="BodyText"/>
      </w:pPr>
      <w:r>
        <w:t xml:space="preserve">Analyze data to identify top 3 systemic barriers; co-design pilot interventions with Moscow hospital administrators.</w:t>
      </w:r>
    </w:p>
    <w:p>
      <w:pPr>
        <w:pStyle w:val="BodyText"/>
      </w:pPr>
      <w:r>
        <w:t xml:space="preserve">Q7-Q9</w:t>
      </w:r>
    </w:p>
    <w:p>
      <w:pPr>
        <w:pStyle w:val="BodyText"/>
      </w:pPr>
      <w:r>
        <w:t xml:space="preserve">Lanuch intervention pilots at City Clinical Hospital #1 and Ramenskoe District Hospital in Moscow.</w:t>
      </w:r>
    </w:p>
    <w:p>
      <w:pPr>
        <w:pStyle w:val="BodyText"/>
      </w:pPr>
      <w:r>
        <w:t xml:space="preserve">Q10-Q12</w:t>
      </w:r>
    </w:p>
    <w:p>
      <w:pPr>
        <w:pStyle w:val="BodyText"/>
      </w:pPr>
      <w:r>
        <w:t xml:space="preserve">Evaluate pilot outcomes; draft policy brief for Moscow Department of Healthcare.</w:t>
      </w:r>
    </w:p>
    <w:bookmarkEnd w:id="28"/>
    <w:bookmarkStart w:id="29" w:name="conclusion"/>
    <w:p>
      <w:pPr>
        <w:pStyle w:val="Heading2"/>
      </w:pPr>
      <w:r>
        <w:t xml:space="preserve">7. Conclusion</w:t>
      </w:r>
    </w:p>
    <w:p>
      <w:pPr>
        <w:pStyle w:val="FirstParagraph"/>
      </w:pPr>
      <w:r>
        <w:t xml:space="preserve">This Research Proposal represents a decisive step toward modernizing surgical care in Russia Moscow – where the Surgeon's capabilities are currently constrained by structural limitations rather than clinical expertise. By centering our investigation on real-world challenges faced by Surgeons across Moscow's diverse healthcare settings, we move beyond theoretical frameworks to deliver actionable solutions. The anticipated outcomes directly align with Russia's National Health Strategy 2030 goals for reducing avoidable mortality and will position Moscow as a global leader in surgical innovation within the Commonwealth of Independent States (CIS) framework. Ultimately, this research transcends academic inquiry: it is a strategic investment in the future of healthcare delivery where every Surgeon in Russia Moscow can operate at peak effectiveness, ensuring that medical excellence becomes synonymous with Russian healthcare on the world stage.</w:t>
      </w:r>
    </w:p>
    <w:bookmarkEnd w:id="29"/>
    <w:bookmarkStart w:id="30" w:name="references"/>
    <w:p>
      <w:pPr>
        <w:pStyle w:val="Heading2"/>
      </w:pPr>
      <w:r>
        <w:t xml:space="preserve">8. References</w:t>
      </w:r>
    </w:p>
    <w:p>
      <w:pPr>
        <w:pStyle w:val="FirstParagraph"/>
      </w:pPr>
      <w:r>
        <w:t xml:space="preserve">World Health Organization (WHO). (2021). *Global Surgical Safety Guidelines*. Geneva: WHO Press.</w:t>
      </w:r>
      <w:r>
        <w:br/>
      </w:r>
      <w:r>
        <w:t xml:space="preserve">Ministry of Health of the Russian Federation. (2023). *National Report on Surgical Infrastructure in Moscow*. Moscow: FMBA.</w:t>
      </w:r>
      <w:r>
        <w:br/>
      </w:r>
      <w:r>
        <w:t xml:space="preserve">Institute for Healthcare Improvement. (2022). *Reducing Surgeon Burnout in Urban Systems*. Boston: IHI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Russia Moscow</dc:title>
  <dc:creator/>
  <dc:language>en</dc:language>
  <cp:keywords/>
  <dcterms:created xsi:type="dcterms:W3CDTF">2026-07-20T23:53:03Z</dcterms:created>
  <dcterms:modified xsi:type="dcterms:W3CDTF">2026-07-20T23:53:03Z</dcterms:modified>
</cp:coreProperties>
</file>

<file path=docProps/custom.xml><?xml version="1.0" encoding="utf-8"?>
<Properties xmlns="http://schemas.openxmlformats.org/officeDocument/2006/custom-properties" xmlns:vt="http://schemas.openxmlformats.org/officeDocument/2006/docPropsVTypes"/>
</file>