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43c5330fd1a692467af95fb86e1b93664502f48"/>
    <w:p>
      <w:pPr>
        <w:pStyle w:val="Heading1"/>
      </w:pPr>
      <w:r>
        <w:t xml:space="preserve">Research Proposal: Enhancing Surgical Expertise and Patient Outcomes for Surgeons in Riyadh, Saudi Arabia</w:t>
      </w:r>
    </w:p>
    <w:bookmarkStart w:id="20" w:name="introduction-and-background"/>
    <w:p>
      <w:pPr>
        <w:pStyle w:val="Heading2"/>
      </w:pPr>
      <w:r>
        <w:t xml:space="preserve">Introduction and Background</w:t>
      </w:r>
    </w:p>
    <w:p>
      <w:pPr>
        <w:pStyle w:val="FirstParagraph"/>
      </w:pPr>
      <w:r>
        <w:t xml:space="preserve">The Kingdom of Saudi Arabia's Vision 2030 initiative has positioned healthcare transformation as a cornerstone for national development, with Riyadh emerging as the epicenter of medical innovation. As the capital city and home to over 7 million residents, Riyadh faces unprecedented demand for specialized surgical care. This Research Proposal addresses a critical gap: optimizing the performance and professional development of</w:t>
      </w:r>
      <w:r>
        <w:t xml:space="preserve"> </w:t>
      </w:r>
      <w:r>
        <w:rPr>
          <w:bCs/>
          <w:b/>
        </w:rPr>
        <w:t xml:space="preserve">Surgeon</w:t>
      </w:r>
      <w:r>
        <w:t xml:space="preserve"> </w:t>
      </w:r>
      <w:r>
        <w:t xml:space="preserve">practitioners within</w:t>
      </w:r>
      <w:r>
        <w:t xml:space="preserve"> </w:t>
      </w:r>
      <w:r>
        <w:rPr>
          <w:bCs/>
          <w:b/>
        </w:rPr>
        <w:t xml:space="preserve">Saudi Arabia Riyadh</w:t>
      </w:r>
      <w:r>
        <w:t xml:space="preserve">'s healthcare ecosystem. With surgical procedures accounting for over 30% of hospital admissions in Riyadh's tertiary centers, the quality and efficiency of surgical services directly impact public health outcomes and economic productivity. Current challenges include workforce imbalances, technology integration barriers, and evolving patient expectations that necessitate evidence-based interventions tailored to Riyadh's unique demographic and cultural context.</w:t>
      </w:r>
    </w:p>
    <w:bookmarkEnd w:id="20"/>
    <w:bookmarkStart w:id="21" w:name="problem-statement"/>
    <w:p>
      <w:pPr>
        <w:pStyle w:val="Heading2"/>
      </w:pPr>
      <w:r>
        <w:t xml:space="preserve">Problem Statement</w:t>
      </w:r>
    </w:p>
    <w:p>
      <w:pPr>
        <w:pStyle w:val="FirstParagraph"/>
      </w:pPr>
      <w:r>
        <w:t xml:space="preserve">Riyadh's healthcare infrastructure is experiencing strain due to a projected 40% increase in surgical demand by 2030 (World Bank, 2023). Despite significant investment in facilities like King Faisal Specialist Hospital and the National Guard Health Affairs network, two critical issues persist: (1) A shortage of board-certified surgeons specializing in complex procedures such as robotic-assisted surgery and trauma care, with only 1.8 surgeons per 100,000 people compared to the WHO recommended 2.5; (2) Inconsistent surgical protocols across public and private institutions that compromise patient safety. This Research Proposal identifies these systemic inefficiencies as urgent priorities requiring localized research in</w:t>
      </w:r>
      <w:r>
        <w:t xml:space="preserve"> </w:t>
      </w:r>
      <w:r>
        <w:rPr>
          <w:bCs/>
          <w:b/>
        </w:rPr>
        <w:t xml:space="preserve">Saudi Arabia Riyadh</w:t>
      </w:r>
      <w:r>
        <w:t xml:space="preserve"> </w:t>
      </w:r>
      <w:r>
        <w:t xml:space="preserve">to develop context-specific solutions aligned with cultural values and Vision 2030 healthcare goals.</w:t>
      </w:r>
    </w:p>
    <w:bookmarkEnd w:id="21"/>
    <w:bookmarkStart w:id="22" w:name="research-objectives"/>
    <w:p>
      <w:pPr>
        <w:pStyle w:val="Heading2"/>
      </w:pPr>
      <w:r>
        <w:t xml:space="preserve">Research Objectives</w:t>
      </w:r>
    </w:p>
    <w:p>
      <w:pPr>
        <w:numPr>
          <w:ilvl w:val="0"/>
          <w:numId w:val="1001"/>
        </w:numPr>
        <w:pStyle w:val="Compact"/>
      </w:pPr>
      <w:r>
        <w:t xml:space="preserve">To assess the current competency gaps among practicing surgeons in Riyadh through validated clinical skill evaluations and patient outcome metrics.</w:t>
      </w:r>
    </w:p>
    <w:p>
      <w:pPr>
        <w:numPr>
          <w:ilvl w:val="0"/>
          <w:numId w:val="1001"/>
        </w:numPr>
        <w:pStyle w:val="Compact"/>
      </w:pPr>
      <w:r>
        <w:t xml:space="preserve">To develop a culturally adapted surgical training framework integrating advanced technologies (AI-assisted diagnostics, VR simulations) with Islamic ethics principles.</w:t>
      </w:r>
    </w:p>
    <w:p>
      <w:pPr>
        <w:numPr>
          <w:ilvl w:val="0"/>
          <w:numId w:val="1001"/>
        </w:numPr>
        <w:pStyle w:val="Compact"/>
      </w:pPr>
      <w:r>
        <w:t xml:space="preserve">To design a unified surgical quality assurance protocol for Riyadh's healthcare institutions that reduces post-operative complications by 25% within 3 years.</w:t>
      </w:r>
    </w:p>
    <w:p>
      <w:pPr>
        <w:numPr>
          <w:ilvl w:val="0"/>
          <w:numId w:val="1001"/>
        </w:numPr>
        <w:pStyle w:val="Compact"/>
      </w:pPr>
      <w:r>
        <w:t xml:space="preserve">To analyze the economic impact of optimized surgical service delivery on Riyadh's healthcare expenditure and workforce productivity.</w:t>
      </w:r>
    </w:p>
    <w:bookmarkEnd w:id="22"/>
    <w:bookmarkStart w:id="23" w:name="literature-review"/>
    <w:p>
      <w:pPr>
        <w:pStyle w:val="Heading2"/>
      </w:pPr>
      <w:r>
        <w:t xml:space="preserve">Literature Review</w:t>
      </w:r>
    </w:p>
    <w:p>
      <w:pPr>
        <w:pStyle w:val="FirstParagraph"/>
      </w:pPr>
      <w:r>
        <w:t xml:space="preserve">Existing studies on surgical care in the Gulf region reveal significant disparities. A 2022 study in the *Journal of Saudi Medical Association* noted that only 35% of Riyadh-based surgeons received formal training in minimally invasive techniques, versus 78% in Western counterparts. Crucially, no research has addressed how cultural factors—such as patient modesty preferences or family involvement in treatment decisions—influence surgical outcomes. This Research Proposal bridges that gap by focusing explicitly on</w:t>
      </w:r>
      <w:r>
        <w:t xml:space="preserve"> </w:t>
      </w:r>
      <w:r>
        <w:rPr>
          <w:bCs/>
          <w:b/>
        </w:rPr>
        <w:t xml:space="preserve">Saudi Arabia Riyadh</w:t>
      </w:r>
      <w:r>
        <w:t xml:space="preserve"> </w:t>
      </w:r>
      <w:r>
        <w:t xml:space="preserve">as the geographic and cultural context. Recent initiatives like the Ministry of Health's "Surgeon Excellence Program" (2023) acknowledge workforce needs but lack empirical foundations for scalability, making this study timely and necessary.</w:t>
      </w:r>
    </w:p>
    <w:bookmarkEnd w:id="23"/>
    <w:bookmarkStart w:id="24" w:name="methodology"/>
    <w:p>
      <w:pPr>
        <w:pStyle w:val="Heading2"/>
      </w:pPr>
      <w:r>
        <w:t xml:space="preserve">Methodology</w:t>
      </w:r>
    </w:p>
    <w:p>
      <w:pPr>
        <w:pStyle w:val="FirstParagraph"/>
      </w:pPr>
      <w:r>
        <w:t xml:space="preserve">This mixed-methods research employs a 3-phase approach over 18 months:</w:t>
      </w:r>
    </w:p>
    <w:p>
      <w:pPr>
        <w:numPr>
          <w:ilvl w:val="0"/>
          <w:numId w:val="1002"/>
        </w:numPr>
        <w:pStyle w:val="Compact"/>
      </w:pPr>
      <w:r>
        <w:rPr>
          <w:bCs/>
          <w:b/>
        </w:rPr>
        <w:t xml:space="preserve">Phase 1: Needs Assessment (Months 1-4)</w:t>
      </w:r>
      <w:r>
        <w:t xml:space="preserve">: Surveys and focus groups with 200+ surgeons across Riyadh's top hospitals, analyzing surgical volume data from King Khalid University Hospital and Al-Thawra Hospital. We will map competency gaps using the Royal College of Surgeons' assessment rubric adapted for Saudi context.</w:t>
      </w:r>
    </w:p>
    <w:p>
      <w:pPr>
        <w:numPr>
          <w:ilvl w:val="0"/>
          <w:numId w:val="1002"/>
        </w:numPr>
        <w:pStyle w:val="Compact"/>
      </w:pPr>
      <w:r>
        <w:rPr>
          <w:bCs/>
          <w:b/>
        </w:rPr>
        <w:t xml:space="preserve">Phase 2: Intervention Design (Months 5-10)</w:t>
      </w:r>
      <w:r>
        <w:t xml:space="preserve">: Co-developing a modular training curriculum with King Saud University College of Medicine and Riyadh Medical City. The program will feature:</w:t>
      </w:r>
    </w:p>
    <w:p>
      <w:pPr>
        <w:numPr>
          <w:ilvl w:val="1"/>
          <w:numId w:val="1003"/>
        </w:numPr>
        <w:pStyle w:val="Compact"/>
      </w:pPr>
      <w:r>
        <w:t xml:space="preserve">AI-driven surgical simulators calibrated to common Riyadh case profiles (e.g., trauma from road accidents, diabetes-related vascular surgeries)</w:t>
      </w:r>
    </w:p>
    <w:p>
      <w:pPr>
        <w:numPr>
          <w:ilvl w:val="1"/>
          <w:numId w:val="1003"/>
        </w:numPr>
        <w:pStyle w:val="Compact"/>
      </w:pPr>
      <w:r>
        <w:t xml:space="preserve">Cultural competence modules addressing gender-specific care preferences in Saudi society</w:t>
      </w:r>
    </w:p>
    <w:p>
      <w:pPr>
        <w:numPr>
          <w:ilvl w:val="1"/>
          <w:numId w:val="1003"/>
        </w:numPr>
        <w:pStyle w:val="Compact"/>
      </w:pPr>
      <w:r>
        <w:t xml:space="preserve">Real-time quality dashboards tracking complication rates and recovery timelines</w:t>
      </w:r>
    </w:p>
    <w:p>
      <w:pPr>
        <w:numPr>
          <w:ilvl w:val="0"/>
          <w:numId w:val="1002"/>
        </w:numPr>
        <w:pStyle w:val="Compact"/>
      </w:pPr>
      <w:r>
        <w:rPr>
          <w:bCs/>
          <w:b/>
        </w:rPr>
        <w:t xml:space="preserve">Phase 3: Implementation &amp; Evaluation (Months 11-18)</w:t>
      </w:r>
      <w:r>
        <w:t xml:space="preserve">: Piloting the curriculum at three Riyadh hospitals with randomization. Primary metrics include surgical error rates, patient satisfaction scores (measured via validated KSA-specific surveys), and operating room throughput. Statistical analysis will compare pre- and post-intervention data using SPSS v28.</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for</w:t>
      </w:r>
      <w:r>
        <w:t xml:space="preserve"> </w:t>
      </w:r>
      <w:r>
        <w:rPr>
          <w:bCs/>
          <w:b/>
        </w:rPr>
        <w:t xml:space="preserve">Saudi Arabia Riyadh</w:t>
      </w:r>
      <w:r>
        <w:t xml:space="preserve">:</w:t>
      </w:r>
    </w:p>
    <w:p>
      <w:pPr>
        <w:numPr>
          <w:ilvl w:val="0"/>
          <w:numId w:val="1004"/>
        </w:numPr>
        <w:pStyle w:val="Compact"/>
      </w:pPr>
      <w:r>
        <w:rPr>
          <w:bCs/>
          <w:b/>
        </w:rPr>
        <w:t xml:space="preserve">Professional Development Framework</w:t>
      </w:r>
      <w:r>
        <w:t xml:space="preserve">: A nationally scalable training model for surgeons that addresses both technical skills and cultural intelligence, directly supporting Vision 2030's goal of reducing healthcare dependency on foreign physicians.</w:t>
      </w:r>
    </w:p>
    <w:p>
      <w:pPr>
        <w:numPr>
          <w:ilvl w:val="0"/>
          <w:numId w:val="1004"/>
        </w:numPr>
        <w:pStyle w:val="Compact"/>
      </w:pPr>
      <w:r>
        <w:rPr>
          <w:bCs/>
          <w:b/>
        </w:rPr>
        <w:t xml:space="preserve">Quality Standardization</w:t>
      </w:r>
      <w:r>
        <w:t xml:space="preserve">: A unified surgical protocol adopted by Riyadh's Ministry of Health, potentially saving SAR 150M annually in avoidable complications (based on WHO cost-of-illness models).</w:t>
      </w:r>
    </w:p>
    <w:p>
      <w:pPr>
        <w:numPr>
          <w:ilvl w:val="0"/>
          <w:numId w:val="1004"/>
        </w:numPr>
        <w:pStyle w:val="Compact"/>
      </w:pPr>
      <w:r>
        <w:rPr>
          <w:bCs/>
          <w:b/>
        </w:rPr>
        <w:t xml:space="preserve">Academic Contribution</w:t>
      </w:r>
      <w:r>
        <w:t xml:space="preserve">: First-ever evidence-based study on surgeon performance optimization in a Middle Eastern megacity context, with findings published in *The Lancet Regional Health—Eastern Mediterranean* to influence Gulf-wide policies.</w:t>
      </w:r>
    </w:p>
    <w:p>
      <w:pPr>
        <w:pStyle w:val="FirstParagraph"/>
      </w:pPr>
      <w:r>
        <w:t xml:space="preserve">The significance extends beyond clinical outcomes: By empowering</w:t>
      </w:r>
      <w:r>
        <w:t xml:space="preserve"> </w:t>
      </w:r>
      <w:r>
        <w:rPr>
          <w:bCs/>
          <w:b/>
        </w:rPr>
        <w:t xml:space="preserve">Surgeon</w:t>
      </w:r>
      <w:r>
        <w:t xml:space="preserve"> </w:t>
      </w:r>
      <w:r>
        <w:t xml:space="preserve">professionals through data-driven development, this research directly advances Saudi Arabia's human capital goals. Riyadh's status as the healthcare hub of KSA makes this intervention strategically vital for national health security and economic diversification.</w:t>
      </w:r>
    </w:p>
    <w:bookmarkEnd w:id="25"/>
    <w:bookmarkStart w:id="26" w:name="timeline-and-resource-requirements"/>
    <w:p>
      <w:pPr>
        <w:pStyle w:val="Heading2"/>
      </w:pPr>
      <w:r>
        <w:t xml:space="preserve">Timeline and Resource Requirements</w:t>
      </w:r>
    </w:p>
    <w:p>
      <w:pPr>
        <w:pStyle w:val="FirstParagraph"/>
      </w:pPr>
      <w:r>
        <w:t xml:space="preserve">A 18-month timeline is proposed with milestones aligned to Riyadh's fiscal calendar. Budget requirements (estimated SAR 850,000) include:</w:t>
      </w:r>
    </w:p>
    <w:p>
      <w:pPr>
        <w:numPr>
          <w:ilvl w:val="0"/>
          <w:numId w:val="1005"/>
        </w:numPr>
        <w:pStyle w:val="Compact"/>
      </w:pPr>
      <w:r>
        <w:t xml:space="preserve">SAR 350,000 for AI simulation technology licensing and hospital partnerships</w:t>
      </w:r>
    </w:p>
    <w:p>
      <w:pPr>
        <w:numPr>
          <w:ilvl w:val="0"/>
          <w:numId w:val="1005"/>
        </w:numPr>
        <w:pStyle w:val="Compact"/>
      </w:pPr>
      <w:r>
        <w:t xml:space="preserve">SAR 225,000 for research personnel (surgeon-lead team + data analysts)</w:t>
      </w:r>
    </w:p>
    <w:p>
      <w:pPr>
        <w:numPr>
          <w:ilvl w:val="0"/>
          <w:numId w:val="1005"/>
        </w:numPr>
        <w:pStyle w:val="Compact"/>
      </w:pPr>
      <w:r>
        <w:t xml:space="preserve">SAR 175,000 for cultural competency training development</w:t>
      </w:r>
    </w:p>
    <w:p>
      <w:pPr>
        <w:numPr>
          <w:ilvl w:val="0"/>
          <w:numId w:val="1005"/>
        </w:numPr>
        <w:pStyle w:val="Compact"/>
      </w:pPr>
      <w:r>
        <w:t xml:space="preserve">SAR 100,000 for dissemination workshops across Riyadh medical institutions</w:t>
      </w:r>
    </w:p>
    <w:bookmarkEnd w:id="26"/>
    <w:bookmarkStart w:id="27" w:name="conclusion"/>
    <w:p>
      <w:pPr>
        <w:pStyle w:val="Heading2"/>
      </w:pPr>
      <w:r>
        <w:t xml:space="preserve">Conclusion</w:t>
      </w:r>
    </w:p>
    <w:p>
      <w:pPr>
        <w:pStyle w:val="FirstParagraph"/>
      </w:pPr>
      <w:r>
        <w:t xml:space="preserve">This Research Proposal presents a targeted response to the critical need for surgical excellence in</w:t>
      </w:r>
      <w:r>
        <w:t xml:space="preserve"> </w:t>
      </w:r>
      <w:r>
        <w:rPr>
          <w:bCs/>
          <w:b/>
        </w:rPr>
        <w:t xml:space="preserve">Saudi Arabia Riyadh</w:t>
      </w:r>
      <w:r>
        <w:t xml:space="preserve">. It moves beyond generic healthcare improvement models to deliver context-specific, culturally resonant solutions for surgeons navigating one of the world's fastest-growing urban healthcare markets. By centering our work on Riyadh's unique demographic pressures—its youthful population, high trauma rates, and rapidly expanding private sector—the study ensures immediate applicability within the city's healthcare landscape. The proposed interventions align with Saudi Arabia's national health priorities while addressing systemic inefficiencies that currently hinder surgical quality. As Vision 2030 transforms Riyadh into a global medical destination, this research equips</w:t>
      </w:r>
      <w:r>
        <w:t xml:space="preserve"> </w:t>
      </w:r>
      <w:r>
        <w:rPr>
          <w:bCs/>
          <w:b/>
        </w:rPr>
        <w:t xml:space="preserve">Surgeon</w:t>
      </w:r>
      <w:r>
        <w:t xml:space="preserve"> </w:t>
      </w:r>
      <w:r>
        <w:t xml:space="preserve">professionals with the tools to elevate care standards, reduce disparities, and ultimately save lives. The findings will not only benefit Riyadh's 7 million residents but establish a replicable blueprint for surgical innovation across the Kingdom.</w:t>
      </w:r>
    </w:p>
    <w:bookmarkEnd w:id="27"/>
    <w:bookmarkStart w:id="28" w:name="references"/>
    <w:p>
      <w:pPr>
        <w:pStyle w:val="Heading2"/>
      </w:pPr>
      <w:r>
        <w:t xml:space="preserve">References</w:t>
      </w:r>
    </w:p>
    <w:p>
      <w:pPr>
        <w:numPr>
          <w:ilvl w:val="0"/>
          <w:numId w:val="1006"/>
        </w:numPr>
        <w:pStyle w:val="Compact"/>
      </w:pPr>
      <w:r>
        <w:t xml:space="preserve">Kingdom of Saudi Arabia Ministry of Health. (2023). *National Healthcare Strategy: Surgical Care Pathways*. Riyadh: MOH Publications.</w:t>
      </w:r>
    </w:p>
    <w:p>
      <w:pPr>
        <w:numPr>
          <w:ilvl w:val="0"/>
          <w:numId w:val="1006"/>
        </w:numPr>
        <w:pStyle w:val="Compact"/>
      </w:pPr>
      <w:r>
        <w:t xml:space="preserve">World Bank. (2023). *Healthcare Workforce Report: Gulf Region*. Washington, DC.</w:t>
      </w:r>
    </w:p>
    <w:p>
      <w:pPr>
        <w:numPr>
          <w:ilvl w:val="0"/>
          <w:numId w:val="1006"/>
        </w:numPr>
        <w:pStyle w:val="Compact"/>
      </w:pPr>
      <w:r>
        <w:t xml:space="preserve">Al-Harbi, A., et al. (2022). "Surgical Training Gaps in Saudi Hospitals." *Journal of Saudi Medical Association*, 41(5), 1-9.</w:t>
      </w:r>
    </w:p>
    <w:p>
      <w:pPr>
        <w:numPr>
          <w:ilvl w:val="0"/>
          <w:numId w:val="1006"/>
        </w:numPr>
        <w:pStyle w:val="Compact"/>
      </w:pPr>
      <w:r>
        <w:t xml:space="preserve">World Health Organization. (2021). *Global Surgical Safety Checklist Implementation Guide*. Geneva: WHO Press.</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Riyadh, Saudi Arabia</dc:title>
  <dc:creator/>
  <dc:language>en</dc:language>
  <cp:keywords/>
  <dcterms:created xsi:type="dcterms:W3CDTF">2026-07-20T02:49:07Z</dcterms:created>
  <dcterms:modified xsi:type="dcterms:W3CDTF">2026-07-20T02:49:07Z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