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8cf9897272a237b40988cc0898caae7b8896169"/>
    <w:p>
      <w:pPr>
        <w:pStyle w:val="Heading1"/>
      </w:pPr>
      <w:r>
        <w:t xml:space="preserve">Research Proposal: Advancing Surgical Excellence Through Enhanced Surgeon Training and Technology Integration in the United Arab Emirates Dubai Healthcare Ecosystem</w:t>
      </w:r>
    </w:p>
    <w:bookmarkStart w:id="20" w:name="introduction"/>
    <w:p>
      <w:pPr>
        <w:pStyle w:val="Heading2"/>
      </w:pPr>
      <w:r>
        <w:t xml:space="preserve">1. Introduction</w:t>
      </w:r>
    </w:p>
    <w:p>
      <w:pPr>
        <w:pStyle w:val="FirstParagraph"/>
      </w:pPr>
      <w:r>
        <w:t xml:space="preserve">The United Arab Emirates (UAE), particularly Dubai, has established itself as a global healthcare destination attracting patients from across the Middle East, Asia, and Europe. With its ambitious healthcare vision outlined in initiatives like "Dubai Health Strategy 2030," the emirate faces critical challenges in maintaining world-class surgical standards amid rapid population growth and increasing complexity of medical conditions. This</w:t>
      </w:r>
      <w:r>
        <w:t xml:space="preserve"> </w:t>
      </w:r>
      <w:r>
        <w:rPr>
          <w:iCs/>
          <w:i/>
        </w:rPr>
        <w:t xml:space="preserve">Research Proposal</w:t>
      </w:r>
      <w:r>
        <w:t xml:space="preserve"> </w:t>
      </w:r>
      <w:r>
        <w:t xml:space="preserve">addresses an urgent need to optimize the performance of</w:t>
      </w:r>
      <w:r>
        <w:t xml:space="preserve"> </w:t>
      </w:r>
      <w:r>
        <w:rPr>
          <w:iCs/>
          <w:i/>
        </w:rPr>
        <w:t xml:space="preserve">Surgeon</w:t>
      </w:r>
      <w:r>
        <w:t xml:space="preserve"> </w:t>
      </w:r>
      <w:r>
        <w:t xml:space="preserve">professionals through evidence-based training protocols, technology integration, and outcome-focused research within Dubai's unique healthcare environment. As Dubai continues to position itself as a hub for advanced medical tourism, ensuring surgical excellence is not merely a clinical imperative but an economic and reputational necessity.</w:t>
      </w:r>
    </w:p>
    <w:bookmarkEnd w:id="20"/>
    <w:bookmarkStart w:id="21" w:name="background-and-problem-statement"/>
    <w:p>
      <w:pPr>
        <w:pStyle w:val="Heading2"/>
      </w:pPr>
      <w:r>
        <w:t xml:space="preserve">2. Background and Problem Statement</w:t>
      </w:r>
    </w:p>
    <w:p>
      <w:pPr>
        <w:pStyle w:val="FirstParagraph"/>
      </w:pPr>
      <w:r>
        <w:t xml:space="preserve">Despite Dubai's significant investments in state-of-the-art hospitals (e.g., American Hospital Dubai, Latifa Hospital, Rashid Hospital), gaps persist in surgical competency frameworks tailored to local demographics and healthcare demands. Current surgeon training programs often lack standardized metrics for evaluating complex procedures common in our region—such as trauma surgery from multi-vehicle accidents or minimally invasive techniques for obesity-related comorbidities. Furthermore, cultural considerations (e.g., patient preference for modesty during procedures) and language barriers occasionally impede optimal surgical outcomes. The absence of a localized</w:t>
      </w:r>
      <w:r>
        <w:t xml:space="preserve"> </w:t>
      </w:r>
      <w:r>
        <w:rPr>
          <w:iCs/>
          <w:i/>
        </w:rPr>
        <w:t xml:space="preserve">Research Proposal</w:t>
      </w:r>
      <w:r>
        <w:t xml:space="preserve"> </w:t>
      </w:r>
      <w:r>
        <w:t xml:space="preserve">focused on surgeon performance analytics in Dubai’s healthcare system limits our ability to address these systemic inefficiencies proactively.</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culturally adapted surgical competency framework specifically for surgeons operating within the United Arab Emirates Dubai healthcare landscape.</w:t>
      </w:r>
    </w:p>
    <w:p>
      <w:pPr>
        <w:numPr>
          <w:ilvl w:val="0"/>
          <w:numId w:val="1001"/>
        </w:numPr>
        <w:pStyle w:val="Compact"/>
      </w:pPr>
      <w:r>
        <w:t xml:space="preserve">To assess the impact of emerging technologies (AI-assisted diagnostics, robotic surgery platforms) on surgical precision and patient recovery times in Dubai’s tertiary care hospitals.</w:t>
      </w:r>
    </w:p>
    <w:p>
      <w:pPr>
        <w:numPr>
          <w:ilvl w:val="0"/>
          <w:numId w:val="1001"/>
        </w:numPr>
        <w:pStyle w:val="Compact"/>
      </w:pPr>
      <w:r>
        <w:t xml:space="preserve">To establish predictive analytics models identifying pre-operative risk factors unique to UAE demographics that influence post-surgical outcomes.</w:t>
      </w:r>
    </w:p>
    <w:p>
      <w:pPr>
        <w:numPr>
          <w:ilvl w:val="0"/>
          <w:numId w:val="1001"/>
        </w:numPr>
        <w:pStyle w:val="Compact"/>
      </w:pPr>
      <w:r>
        <w:t xml:space="preserve">To create a sustainable mentorship pathway for junior surgeons through collaboration with established medical institutions like the Dubai Health Authority (DHA) and American University of Sharjah.</w:t>
      </w:r>
    </w:p>
    <w:bookmarkEnd w:id="22"/>
    <w:bookmarkStart w:id="26" w:name="methodology"/>
    <w:p>
      <w:pPr>
        <w:pStyle w:val="Heading2"/>
      </w:pPr>
      <w:r>
        <w:t xml:space="preserve">4. Methodology</w:t>
      </w:r>
    </w:p>
    <w:p>
      <w:pPr>
        <w:pStyle w:val="FirstParagraph"/>
      </w:pPr>
      <w:r>
        <w:t xml:space="preserve">This 18-month mixed-methods study will deploy three interconnected approaches:</w:t>
      </w:r>
    </w:p>
    <w:bookmarkStart w:id="23" w:name="X7791030c5131b4b0d630cf52349710ce4b53e48"/>
    <w:p>
      <w:pPr>
        <w:pStyle w:val="Heading3"/>
      </w:pPr>
      <w:r>
        <w:t xml:space="preserve">4.1 Quantitative Phase: Surgical Performance Analytics</w:t>
      </w:r>
    </w:p>
    <w:p>
      <w:pPr>
        <w:pStyle w:val="FirstParagraph"/>
      </w:pPr>
      <w:r>
        <w:t xml:space="preserve">We will analyze anonymized data from 50,000+ surgical cases across Dubai’s top hospitals (2021-2023), focusing on:</w:t>
      </w:r>
      <w:r>
        <w:t xml:space="preserve"> </w:t>
      </w:r>
      <w:r>
        <w:t xml:space="preserve">• Complication rates by procedure type (e.g., laparoscopic cholecystectomy, orthopedic joint replacements)</w:t>
      </w:r>
      <w:r>
        <w:t xml:space="preserve"> </w:t>
      </w:r>
      <w:r>
        <w:t xml:space="preserve">• Patient satisfaction scores correlated with surgeon communication styles</w:t>
      </w:r>
      <w:r>
        <w:t xml:space="preserve"> </w:t>
      </w:r>
      <w:r>
        <w:t xml:space="preserve">• Resource utilization metrics (OR turnover time, bed occupancy post-surgery)</w:t>
      </w:r>
    </w:p>
    <w:bookmarkEnd w:id="23"/>
    <w:bookmarkStart w:id="24" w:name="Xd86bbea35f18bde7aee5047c89e49526adfaa6e"/>
    <w:p>
      <w:pPr>
        <w:pStyle w:val="Heading3"/>
      </w:pPr>
      <w:r>
        <w:t xml:space="preserve">4.2 Qualitative Phase: Surgeon and Patient Perspectives</w:t>
      </w:r>
    </w:p>
    <w:p>
      <w:pPr>
        <w:pStyle w:val="FirstParagraph"/>
      </w:pPr>
      <w:r>
        <w:t xml:space="preserve">Conduct focus groups with 150+ practicing surgeons across Dubai’s public and private sectors, alongside 300 patient interviews to identify:</w:t>
      </w:r>
      <w:r>
        <w:t xml:space="preserve"> </w:t>
      </w:r>
      <w:r>
        <w:t xml:space="preserve">• Cultural barriers in surgical care (e.g., religious considerations during pre-op consent)</w:t>
      </w:r>
      <w:r>
        <w:t xml:space="preserve"> </w:t>
      </w:r>
      <w:r>
        <w:t xml:space="preserve">• Technology adoption challenges (e.g., resistance to AI tools among senior surgeons)</w:t>
      </w:r>
    </w:p>
    <w:bookmarkEnd w:id="24"/>
    <w:bookmarkStart w:id="25" w:name="X183749c0c0e97ace47c322bb6ab97546ba43730"/>
    <w:p>
      <w:pPr>
        <w:pStyle w:val="Heading3"/>
      </w:pPr>
      <w:r>
        <w:t xml:space="preserve">4.3 Intervention Design: Pilot Training Module</w:t>
      </w:r>
    </w:p>
    <w:p>
      <w:pPr>
        <w:pStyle w:val="FirstParagraph"/>
      </w:pPr>
      <w:r>
        <w:t xml:space="preserve">Based on findings, co-design a 6-month surgical residency module with DHA-accredited institutions. This will integrate:</w:t>
      </w:r>
      <w:r>
        <w:t xml:space="preserve"> </w:t>
      </w:r>
      <w:r>
        <w:t xml:space="preserve">• VR simulations of high-risk UAE-specific scenarios (e.g., desert trauma emergencies)</w:t>
      </w:r>
      <w:r>
        <w:t xml:space="preserve"> </w:t>
      </w:r>
      <w:r>
        <w:t xml:space="preserve">• Cross-cultural communication workshops with Emirati healthcare interpreters</w:t>
      </w:r>
      <w:r>
        <w:t xml:space="preserve"> </w:t>
      </w:r>
      <w:r>
        <w:t xml:space="preserve">• AI-driven real-time feedback during live surgeries via augmented reality overlays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Research Proposal</w:t>
      </w:r>
      <w:r>
        <w:t xml:space="preserve"> </w:t>
      </w:r>
      <w:r>
        <w:t xml:space="preserve">promises transformative outcomes for the United Arab Emirates Dubai healthcare ecosystem:</w:t>
      </w:r>
    </w:p>
    <w:p>
      <w:pPr>
        <w:numPr>
          <w:ilvl w:val="0"/>
          <w:numId w:val="1002"/>
        </w:numPr>
        <w:pStyle w:val="Compact"/>
      </w:pPr>
      <w:r>
        <w:rPr>
          <w:bCs/>
          <w:b/>
        </w:rPr>
        <w:t xml:space="preserve">Clinical Impact:</w:t>
      </w:r>
      <w:r>
        <w:t xml:space="preserve"> </w:t>
      </w:r>
      <w:r>
        <w:t xml:space="preserve">15-20% reduction in post-operative complications through tailored surgeon protocols, directly aligning with Dubai’s goal of "Zero Harm" patient safety.</w:t>
      </w:r>
    </w:p>
    <w:p>
      <w:pPr>
        <w:numPr>
          <w:ilvl w:val="0"/>
          <w:numId w:val="1002"/>
        </w:numPr>
        <w:pStyle w:val="Compact"/>
      </w:pPr>
      <w:r>
        <w:rPr>
          <w:bCs/>
          <w:b/>
        </w:rPr>
        <w:t xml:space="preserve">Economic Value:</w:t>
      </w:r>
      <w:r>
        <w:t xml:space="preserve"> </w:t>
      </w:r>
      <w:r>
        <w:t xml:space="preserve">Optimized OR utilization could save Dubai hospitals an estimated AED 87 million annually (based on current bed occupancy rates), supporting UAE Vision 2030’s healthcare efficiency targets.</w:t>
      </w:r>
    </w:p>
    <w:p>
      <w:pPr>
        <w:numPr>
          <w:ilvl w:val="0"/>
          <w:numId w:val="1002"/>
        </w:numPr>
        <w:pStyle w:val="Compact"/>
      </w:pPr>
      <w:r>
        <w:rPr>
          <w:bCs/>
          <w:b/>
        </w:rPr>
        <w:t xml:space="preserve">Professional Development:</w:t>
      </w:r>
      <w:r>
        <w:t xml:space="preserve"> </w:t>
      </w:r>
      <w:r>
        <w:t xml:space="preserve">Creation of a Dubai-specific surgeon competency certification recognized by the Ministry of Health and Prevention, enhancing regional reputation as a training hub.</w:t>
      </w:r>
    </w:p>
    <w:p>
      <w:pPr>
        <w:numPr>
          <w:ilvl w:val="0"/>
          <w:numId w:val="1002"/>
        </w:numPr>
        <w:pStyle w:val="Compact"/>
      </w:pPr>
      <w:r>
        <w:rPr>
          <w:bCs/>
          <w:b/>
        </w:rPr>
        <w:t xml:space="preserve">Cultural Integration:</w:t>
      </w:r>
      <w:r>
        <w:t xml:space="preserve"> </w:t>
      </w:r>
      <w:r>
        <w:t xml:space="preserve">Frameworks addressing Emirati patient values (e.g., family involvement in care decisions) will strengthen trust in Dubai’s healthcare system among local communities.</w:t>
      </w:r>
    </w:p>
    <w:bookmarkEnd w:id="27"/>
    <w:bookmarkStart w:id="28" w:name="X5a1007b90298b568bda003a97f1968c62ab309a"/>
    <w:p>
      <w:pPr>
        <w:pStyle w:val="Heading2"/>
      </w:pPr>
      <w:r>
        <w:t xml:space="preserve">6. Implementation in United Arab Emirates Dubai Context</w:t>
      </w:r>
    </w:p>
    <w:p>
      <w:pPr>
        <w:pStyle w:val="FirstParagraph"/>
      </w:pPr>
      <w:r>
        <w:t xml:space="preserve">The project leverages Dubai’s strategic advantages:</w:t>
      </w:r>
      <w:r>
        <w:t xml:space="preserve"> </w:t>
      </w:r>
      <w:r>
        <w:t xml:space="preserve">• Collaboration with the Dubai Health Authority (DHA), which mandates continuous professional development for all licensed surgeons.</w:t>
      </w:r>
      <w:r>
        <w:t xml:space="preserve"> </w:t>
      </w:r>
      <w:r>
        <w:t xml:space="preserve">• Access to cutting-edge facilities like the Sheikh Mohammed Medical City and Dubai Healthcare City (DHCC) freezone.</w:t>
      </w:r>
      <w:r>
        <w:t xml:space="preserve"> </w:t>
      </w:r>
      <w:r>
        <w:t xml:space="preserve">• Support from UAE National Innovation Strategy 2031, prioritizing AI in healthcare.</w:t>
      </w:r>
      <w:r>
        <w:t xml:space="preserve"> </w:t>
      </w:r>
      <w:r>
        <w:rPr>
          <w:iCs/>
          <w:i/>
        </w:rPr>
        <w:t xml:space="preserve">Surgeon</w:t>
      </w:r>
      <w:r>
        <w:t xml:space="preserve"> </w:t>
      </w:r>
      <w:r>
        <w:t xml:space="preserve">participation will be incentivized through DHA-approved continuing medical education credits, ensuring high engagement across private/public sectors. Crucially, all data collection adheres to UAE’s Personal Data Protection Law (PDPL), with patient consent protocols vetted by the Dubai Health Authority Ethics Committee.</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 (Baseline)</w:t>
      </w:r>
    </w:p>
    <w:p>
      <w:pPr>
        <w:pStyle w:val="BodyText"/>
      </w:pPr>
      <w:r>
        <w:t xml:space="preserve">Months 1-4</w:t>
      </w:r>
    </w:p>
    <w:p>
      <w:pPr>
        <w:pStyle w:val="BodyText"/>
      </w:pPr>
      <w:r>
        <w:t xml:space="preserve">Surgical outcome database; Cultural barrier report</w:t>
      </w:r>
    </w:p>
    <w:p>
      <w:pPr>
        <w:pStyle w:val="BodyText"/>
      </w:pPr>
      <w:r>
        <w:t xml:space="preserve">Stakeholder Engagement &amp; Framework Design</w:t>
      </w:r>
    </w:p>
    <w:p>
      <w:pPr>
        <w:pStyle w:val="BodyText"/>
      </w:pPr>
      <w:r>
        <w:t xml:space="preserve">Months 5-8</w:t>
      </w:r>
    </w:p>
    <w:p>
      <w:pPr>
        <w:pStyle w:val="BodyText"/>
      </w:pPr>
      <w:r>
        <w:t xml:space="preserve">Certified surgeon competency rubric; AI tool integration plan</w:t>
      </w:r>
    </w:p>
    <w:p>
      <w:pPr>
        <w:pStyle w:val="BodyText"/>
      </w:pPr>
      <w:r>
        <w:t xml:space="preserve">Pilot Implementation (3 Hospitals)</w:t>
      </w:r>
    </w:p>
    <w:p>
      <w:pPr>
        <w:pStyle w:val="BodyText"/>
      </w:pPr>
      <w:r>
        <w:t xml:space="preserve">Months 9-14</w:t>
      </w:r>
    </w:p>
    <w:p>
      <w:pPr>
        <w:pStyle w:val="BodyText"/>
      </w:pPr>
      <w:r>
        <w:t xml:space="preserve">Limited-scope VR training module deployment</w:t>
      </w:r>
      <w:r>
        <w:t xml:space="preserve"> </w:t>
      </w:r>
      <w:r>
        <w:t xml:space="preserve">• Baseline vs. post-intervention outcome comparison</w:t>
      </w:r>
    </w:p>
    <w:p>
      <w:pPr>
        <w:pStyle w:val="BodyText"/>
      </w:pPr>
      <w:r>
        <w:t xml:space="preserve">Validation &amp; Policy Integration</w:t>
      </w:r>
    </w:p>
    <w:p>
      <w:pPr>
        <w:pStyle w:val="BodyText"/>
      </w:pPr>
      <w:r>
        <w:t xml:space="preserve">Months 15-18</w:t>
      </w:r>
    </w:p>
    <w:p>
      <w:pPr>
        <w:pStyle w:val="BodyText"/>
      </w:pPr>
      <w:r>
        <w:t xml:space="preserve">DHA-endorsed surgeon certification framework; Full report to Dubai Health Strategy 2030 Taskforce</w:t>
      </w:r>
    </w:p>
    <w:p>
      <w:pPr>
        <w:pStyle w:val="BodyText"/>
      </w:pPr>
      <w:r>
        <w:t xml:space="preserve">Limited-scope VR training module deployment</w:t>
      </w:r>
      <w:r>
        <w:t xml:space="preserve"> </w:t>
      </w:r>
      <w:r>
        <w:t xml:space="preserve">• Baseline vs. post-intervention outcome comparison</w:t>
      </w:r>
    </w:p>
    <w:bookmarkEnd w:id="29"/>
    <w:bookmarkStart w:id="30"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represents a strategic investment in the future of surgical care within the United Arab Emirates Dubai healthcare system. By centering on the professional development of</w:t>
      </w:r>
      <w:r>
        <w:t xml:space="preserve"> </w:t>
      </w:r>
      <w:r>
        <w:rPr>
          <w:iCs/>
          <w:i/>
        </w:rPr>
        <w:t xml:space="preserve">Surgeon</w:t>
      </w:r>
      <w:r>
        <w:t xml:space="preserve">s through culturally intelligent, technology-enabled methodologies, we address Dubai’s dual imperatives: elevating clinical outcomes for its growing population and solidifying its position as a global medical tourism leader. The project transcends typical academic research—it will produce actionable protocols immediately applicable to Dubai’s hospitals while setting a regional benchmark for surgeon excellence in multicultural environments. As Dubai advances toward becoming the world's healthcare capital, this initiative ensures that the human element of surgical care remains at the forefront of innovation, where every</w:t>
      </w:r>
      <w:r>
        <w:t xml:space="preserve"> </w:t>
      </w:r>
      <w:r>
        <w:rPr>
          <w:iCs/>
          <w:i/>
        </w:rPr>
        <w:t xml:space="preserve">Surgeon</w:t>
      </w:r>
      <w:r>
        <w:t xml:space="preserve"> </w:t>
      </w:r>
      <w:r>
        <w:t xml:space="preserve">is empowered by evidence, technology, and deep cultural understanding to deliver unparalleled patient experiences within the United Arab Emirates Dubai context.</w:t>
      </w:r>
    </w:p>
    <w:bookmarkEnd w:id="30"/>
    <w:bookmarkStart w:id="31" w:name="references-selected"/>
    <w:p>
      <w:pPr>
        <w:pStyle w:val="Heading2"/>
      </w:pPr>
      <w:r>
        <w:t xml:space="preserve">9. References (Selected)</w:t>
      </w:r>
    </w:p>
    <w:p>
      <w:pPr>
        <w:pStyle w:val="FirstParagraph"/>
      </w:pPr>
      <w:r>
        <w:t xml:space="preserve">Dubai Health Authority. (2023). *Dubai Health Strategy 2030: Surgical Excellence Framework*. Government of Dubai.</w:t>
      </w:r>
      <w:r>
        <w:br/>
      </w:r>
      <w:r>
        <w:t xml:space="preserve">UAE Ministry of Health. (2021). *National Medical Tourism Roadmap*. Abu Dhabi.</w:t>
      </w:r>
      <w:r>
        <w:br/>
      </w:r>
      <w:r>
        <w:t xml:space="preserve">Al-Hamadi, H., &amp; Al-Sayed, S. (2022). Cultural Dimensions in Middle Eastern Surgical Practice. *Journal of Global Surgery*, 15(3), 45-67.</w:t>
      </w:r>
      <w:r>
        <w:br/>
      </w:r>
      <w:r>
        <w:t xml:space="preserve">WHO Regional Office for the Eastern Mediterranean. (2023). *Healthcare Innovation Trends in GCC Countries*.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United Arab Emirates Dubai</dc:title>
  <dc:creator/>
  <dc:language>en</dc:language>
  <cp:keywords/>
  <dcterms:created xsi:type="dcterms:W3CDTF">2026-07-23T18:17:18Z</dcterms:created>
  <dcterms:modified xsi:type="dcterms:W3CDTF">2026-07-23T18:17:18Z</dcterms:modified>
</cp:coreProperties>
</file>

<file path=docProps/custom.xml><?xml version="1.0" encoding="utf-8"?>
<Properties xmlns="http://schemas.openxmlformats.org/officeDocument/2006/custom-properties" xmlns:vt="http://schemas.openxmlformats.org/officeDocument/2006/docPropsVTypes"/>
</file>