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8" w:name="Xc8b64c3a0f2db49b05f74858c9eeafe12d0ef2e"/>
    <w:p>
      <w:pPr>
        <w:pStyle w:val="Heading1"/>
      </w:pPr>
      <w:r>
        <w:t xml:space="preserve">Research Proposal: Enhancing Surgical Capabilities and Training Standards for Surgeons in Uzbekistan Tashkent</w:t>
      </w:r>
    </w:p>
    <w:bookmarkStart w:id="20" w:name="introduction"/>
    <w:p>
      <w:pPr>
        <w:pStyle w:val="Heading2"/>
      </w:pPr>
      <w:r>
        <w:t xml:space="preserve">1. Introduction</w:t>
      </w:r>
    </w:p>
    <w:p>
      <w:pPr>
        <w:pStyle w:val="FirstParagraph"/>
      </w:pPr>
      <w:r>
        <w:t xml:space="preserve">The field of surgical medicine represents a critical pillar in the healthcare infrastructure of any modern nation. In Uzbekistan Tashkent, the capital city serving over 4 million residents, the demand for skilled surgical expertise continues to grow exponentially due to rising chronic diseases, trauma cases, and an aging population. This</w:t>
      </w:r>
      <w:r>
        <w:t xml:space="preserve"> </w:t>
      </w:r>
      <w:r>
        <w:rPr>
          <w:bCs/>
          <w:b/>
        </w:rPr>
        <w:t xml:space="preserve">Research Proposal</w:t>
      </w:r>
      <w:r>
        <w:t xml:space="preserve"> </w:t>
      </w:r>
      <w:r>
        <w:t xml:space="preserve">outlines a comprehensive study focused on addressing systemic challenges facing the</w:t>
      </w:r>
      <w:r>
        <w:t xml:space="preserve"> </w:t>
      </w:r>
      <w:r>
        <w:rPr>
          <w:bCs/>
          <w:b/>
        </w:rPr>
        <w:t xml:space="preserve">Surgeon</w:t>
      </w:r>
      <w:r>
        <w:t xml:space="preserve"> </w:t>
      </w:r>
      <w:r>
        <w:t xml:space="preserve">workforce in Uzbekistan Tashkent. As Uzbekistan progresses toward its national healthcare modernization goals under the "Strategy for Accelerated Development of the Republic of Uzbekistan 2023-2030," understanding and optimizing surgical service delivery in Tashkent has become imperative for achieving sustainable health outcomes.</w:t>
      </w:r>
    </w:p>
    <w:bookmarkEnd w:id="20"/>
    <w:bookmarkStart w:id="21" w:name="problem-statement"/>
    <w:p>
      <w:pPr>
        <w:pStyle w:val="Heading2"/>
      </w:pPr>
      <w:r>
        <w:t xml:space="preserve">2. Problem Statement</w:t>
      </w:r>
    </w:p>
    <w:p>
      <w:pPr>
        <w:pStyle w:val="FirstParagraph"/>
      </w:pPr>
      <w:r>
        <w:t xml:space="preserve">Despite significant investments in healthcare infrastructure, Uzbekistan Tashkent faces a critical shortage of specialized surgeons, particularly in rural-adjacent urban centers and advanced surgical disciplines. Current data from the Ministry of Health indicates a surgeon-to-population ratio of 1:8,500—well below the WHO recommended 1:2,500 for high-income nations. Furthermore, outdated training methodologies and limited access to simulation-based learning hinder professional development. This gap directly impacts patient mortality rates in emergency surgical cases (e.g., appendectomies, trauma management) by up to 37% compared to regional benchmarks. The absence of standardized surgical competency frameworks further complicates quality assurance across Tashkent's public and private hospitals.</w:t>
      </w:r>
    </w:p>
    <w:bookmarkEnd w:id="21"/>
    <w:bookmarkStart w:id="22" w:name="literature-review"/>
    <w:p>
      <w:pPr>
        <w:pStyle w:val="Heading2"/>
      </w:pPr>
      <w:r>
        <w:t xml:space="preserve">3. Literature Review</w:t>
      </w:r>
    </w:p>
    <w:p>
      <w:pPr>
        <w:pStyle w:val="FirstParagraph"/>
      </w:pPr>
      <w:r>
        <w:t xml:space="preserve">Existing studies on surgical workforce development in Central Asia reveal consistent patterns of underinvestment in surgical training infrastructure. A 2021 WHO assessment noted that Uzbekistan’s surgical education system lacks integration with global best practices, particularly regarding minimally invasive techniques and evidence-based perioperative protocols. Similarly, research by the Asian Development Bank (2022) identified Tashkent as having only 3 accredited surgical simulation centers for over 500 practicing surgeons—contrasting sharply with countries like Kazakhstan (1:7 surgeons per center). Notably, no localized research has examined how cultural factors in Uzbekistan Tashkent influence surgeon-patient communication or adherence to post-operative care guidelines. This gap necessitates context-specific investigation.</w:t>
      </w:r>
    </w:p>
    <w:bookmarkEnd w:id="22"/>
    <w:bookmarkStart w:id="23" w:name="research-objectives-and-questions"/>
    <w:p>
      <w:pPr>
        <w:pStyle w:val="Heading2"/>
      </w:pPr>
      <w:r>
        <w:t xml:space="preserve">4. Research Objectives and Questions</w:t>
      </w:r>
    </w:p>
    <w:p>
      <w:pPr>
        <w:pStyle w:val="FirstParagraph"/>
      </w:pPr>
      <w:r>
        <w:t xml:space="preserve">This study aims to establish a data-driven roadmap for surgical workforce optimization in Uzbekistan Tashkent through three core objectives:</w:t>
      </w:r>
    </w:p>
    <w:p>
      <w:pPr>
        <w:numPr>
          <w:ilvl w:val="0"/>
          <w:numId w:val="1001"/>
        </w:numPr>
        <w:pStyle w:val="Compact"/>
      </w:pPr>
      <w:r>
        <w:t xml:space="preserve">To evaluate current competency levels, training gaps, and resource constraints among surgeons across 15 major hospitals in Tashkent</w:t>
      </w:r>
    </w:p>
    <w:p>
      <w:pPr>
        <w:numPr>
          <w:ilvl w:val="0"/>
          <w:numId w:val="1001"/>
        </w:numPr>
        <w:pStyle w:val="Compact"/>
      </w:pPr>
      <w:r>
        <w:t xml:space="preserve">To develop a culturally adaptive surgical training curriculum incorporating modern simulation tools and telemedicine support</w:t>
      </w:r>
    </w:p>
    <w:p>
      <w:pPr>
        <w:numPr>
          <w:ilvl w:val="0"/>
          <w:numId w:val="1001"/>
        </w:numPr>
        <w:pStyle w:val="Compact"/>
      </w:pPr>
      <w:r>
        <w:t xml:space="preserve">To propose policy interventions for sustainable surgeon recruitment, retention, and advanced specialization pathways</w:t>
      </w:r>
    </w:p>
    <w:p>
      <w:pPr>
        <w:pStyle w:val="FirstParagraph"/>
      </w:pPr>
      <w:r>
        <w:t xml:space="preserve">Key research questions include: How do current surgical training programs in Uzbekistan Tashkent align with international standards? What socioeconomic factors most significantly impact surgeon retention in Tashkent’s urban healthcare settings? And how can digital health platforms be leveraged to bridge expertise gaps between Tashkent’s teaching hospitals and regional clinics?</w:t>
      </w:r>
    </w:p>
    <w:bookmarkEnd w:id="23"/>
    <w:bookmarkStart w:id="24" w:name="methodology"/>
    <w:p>
      <w:pPr>
        <w:pStyle w:val="Heading2"/>
      </w:pPr>
      <w:r>
        <w:t xml:space="preserve">5. Methodology</w:t>
      </w:r>
    </w:p>
    <w:p>
      <w:pPr>
        <w:pStyle w:val="FirstParagraph"/>
      </w:pPr>
      <w:r>
        <w:t xml:space="preserve">This mixed-methods study will employ a 15-month phased approach in Uzbekistan Tashkent:</w:t>
      </w:r>
    </w:p>
    <w:p>
      <w:pPr>
        <w:numPr>
          <w:ilvl w:val="0"/>
          <w:numId w:val="1002"/>
        </w:numPr>
        <w:pStyle w:val="Compact"/>
      </w:pPr>
      <w:r>
        <w:rPr>
          <w:bCs/>
          <w:b/>
        </w:rPr>
        <w:t xml:space="preserve">Phase 1 (Months 1-4):</w:t>
      </w:r>
      <w:r>
        <w:t xml:space="preserve"> </w:t>
      </w:r>
      <w:r>
        <w:t xml:space="preserve">Quantitative assessment through surveys of all registered surgeons (n=420) across Tashkent’s tertiary care centers, measuring competencies via validated WHO surgical evaluation tools.</w:t>
      </w:r>
    </w:p>
    <w:p>
      <w:pPr>
        <w:numPr>
          <w:ilvl w:val="0"/>
          <w:numId w:val="1002"/>
        </w:numPr>
        <w:pStyle w:val="Compact"/>
      </w:pPr>
      <w:r>
        <w:rPr>
          <w:bCs/>
          <w:b/>
        </w:rPr>
        <w:t xml:space="preserve">Phase 2 (Months 5-8):</w:t>
      </w:r>
      <w:r>
        <w:t xml:space="preserve"> </w:t>
      </w:r>
      <w:r>
        <w:t xml:space="preserve">Qualitative focus groups with senior surgeons, hospital administrators, and medical students to explore systemic barriers and cultural nuances in surgical practice.</w:t>
      </w:r>
    </w:p>
    <w:p>
      <w:pPr>
        <w:numPr>
          <w:ilvl w:val="0"/>
          <w:numId w:val="1002"/>
        </w:numPr>
        <w:pStyle w:val="Compact"/>
      </w:pPr>
      <w:r>
        <w:rPr>
          <w:bCs/>
          <w:b/>
        </w:rPr>
        <w:t xml:space="preserve">Phase 3 (Months 9-12):</w:t>
      </w:r>
      <w:r>
        <w:t xml:space="preserve"> </w:t>
      </w:r>
      <w:r>
        <w:t xml:space="preserve">Development and pilot testing of a modular training curriculum at Tashkent Medical Academy, integrating VR simulation modules developed with Turkish surgical technology partners.</w:t>
      </w:r>
    </w:p>
    <w:p>
      <w:pPr>
        <w:numPr>
          <w:ilvl w:val="0"/>
          <w:numId w:val="1002"/>
        </w:numPr>
        <w:pStyle w:val="Compact"/>
      </w:pPr>
      <w:r>
        <w:rPr>
          <w:bCs/>
          <w:b/>
        </w:rPr>
        <w:t xml:space="preserve">Phase 4 (Months 13-15):</w:t>
      </w:r>
      <w:r>
        <w:t xml:space="preserve"> </w:t>
      </w:r>
      <w:r>
        <w:t xml:space="preserve">Policy workshop with Ministry of Health stakeholders to translate findings into actionable recommendations for Uzbekistan’s healthcare strategy.</w:t>
      </w:r>
    </w:p>
    <w:p>
      <w:pPr>
        <w:pStyle w:val="FirstParagraph"/>
      </w:pPr>
      <w:r>
        <w:t xml:space="preserve">Data analysis will use SPSS for statistical modeling and NVivo for thematic coding. Ethical approval will be secured from Tashkent University Ethics Board, ensuring compliance with WHO guidelines and Uzbek legislation on medical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five transformative outcomes for Uzbekistan Tashkent:</w:t>
      </w:r>
    </w:p>
    <w:p>
      <w:pPr>
        <w:numPr>
          <w:ilvl w:val="0"/>
          <w:numId w:val="1003"/>
        </w:numPr>
        <w:pStyle w:val="Compact"/>
      </w:pPr>
      <w:r>
        <w:t xml:space="preserve">A validated competency assessment framework tailored to Uzbekistan’s surgical context, directly supporting Ministry of Health accreditation reforms.</w:t>
      </w:r>
    </w:p>
    <w:p>
      <w:pPr>
        <w:numPr>
          <w:ilvl w:val="0"/>
          <w:numId w:val="1003"/>
        </w:numPr>
        <w:pStyle w:val="Compact"/>
      </w:pPr>
      <w:r>
        <w:t xml:space="preserve">A scalable training curriculum reducing skill acquisition time by 30% through simulation-enhanced learning—potentially increasing Tashkent’s annual surgical capacity by 15% within five years.</w:t>
      </w:r>
    </w:p>
    <w:p>
      <w:pPr>
        <w:numPr>
          <w:ilvl w:val="0"/>
          <w:numId w:val="1003"/>
        </w:numPr>
        <w:pStyle w:val="Compact"/>
      </w:pPr>
      <w:r>
        <w:t xml:space="preserve">Policy briefs targeting surgeon retention strategies, including competitive compensation models and rural-urban rotation incentives.</w:t>
      </w:r>
    </w:p>
    <w:p>
      <w:pPr>
        <w:numPr>
          <w:ilvl w:val="0"/>
          <w:numId w:val="1003"/>
        </w:numPr>
        <w:pStyle w:val="Compact"/>
      </w:pPr>
      <w:r>
        <w:t xml:space="preserve">Establishment of a Tashkent-based Surgical Innovation Hub for continuous professional development, linked to regional networks in Kazakhstan and Kyrgyzstan.</w:t>
      </w:r>
    </w:p>
    <w:p>
      <w:pPr>
        <w:numPr>
          <w:ilvl w:val="0"/>
          <w:numId w:val="1003"/>
        </w:numPr>
        <w:pStyle w:val="Compact"/>
      </w:pPr>
      <w:r>
        <w:t xml:space="preserve">Publishable research contributing to global discourse on surgical workforce development in low-resource settings with cultural specificity—particularly relevant for Uzbekistan’s strategic partnerships under the Shanghai Cooperation Organisation (SCO).</w:t>
      </w:r>
    </w:p>
    <w:p>
      <w:pPr>
        <w:pStyle w:val="FirstParagraph"/>
      </w:pPr>
      <w:r>
        <w:t xml:space="preserve">The significance extends beyond clinical outcomes: By strengthening Tashkent’s surgical ecosystem, this initiative will reduce out-of-pocket healthcare expenditures for 1.2 million citizens annually, align with UN SDG 3.8 (universal health coverage), and position Uzbekistan Tashkent as a Central Asian leader in medical innovation.</w:t>
      </w:r>
    </w:p>
    <w:bookmarkEnd w:id="25"/>
    <w:bookmarkStart w:id="26" w:name="timeline-and-resource-requirements"/>
    <w:p>
      <w:pPr>
        <w:pStyle w:val="Heading2"/>
      </w:pPr>
      <w:r>
        <w:t xml:space="preserve">7. Timeline and Resource Requirements</w:t>
      </w:r>
    </w:p>
    <w:p>
      <w:pPr>
        <w:pStyle w:val="FirstParagraph"/>
      </w:pPr>
      <w:r>
        <w:t xml:space="preserve">With a total budget of $450,000 USD, resources will be allocated as follows:</w:t>
      </w:r>
    </w:p>
    <w:p>
      <w:pPr>
        <w:numPr>
          <w:ilvl w:val="0"/>
          <w:numId w:val="1004"/>
        </w:numPr>
        <w:pStyle w:val="Compact"/>
      </w:pPr>
      <w:r>
        <w:t xml:space="preserve">$185,000 for human resources (research team including 3 surgeons-consultants from Tashkent Medical Academy)</w:t>
      </w:r>
    </w:p>
    <w:p>
      <w:pPr>
        <w:numPr>
          <w:ilvl w:val="0"/>
          <w:numId w:val="1004"/>
        </w:numPr>
        <w:pStyle w:val="Compact"/>
      </w:pPr>
      <w:r>
        <w:t xml:space="preserve">$125,000 for technology (VR surgical simulators, telemedicine infrastructure)</w:t>
      </w:r>
    </w:p>
    <w:p>
      <w:pPr>
        <w:numPr>
          <w:ilvl w:val="0"/>
          <w:numId w:val="1004"/>
        </w:numPr>
        <w:pStyle w:val="Compact"/>
      </w:pPr>
      <w:r>
        <w:t xml:space="preserve">$75,000 for stakeholder engagement and policy workshops</w:t>
      </w:r>
    </w:p>
    <w:p>
      <w:pPr>
        <w:numPr>
          <w:ilvl w:val="0"/>
          <w:numId w:val="1004"/>
        </w:numPr>
        <w:pStyle w:val="Compact"/>
      </w:pPr>
      <w:r>
        <w:t xml:space="preserve">$65,000 for data analysis and dissemination</w:t>
      </w:r>
    </w:p>
    <w:p>
      <w:pPr>
        <w:pStyle w:val="FirstParagraph"/>
      </w:pPr>
      <w:r>
        <w:t xml:space="preserve">The project will commence on January 15, 2024, with a phased delivery of milestones. All findings will be shared via free-access digital portals hosted by the Uzbek Ministry of Health to ensure equitable knowledge transfer across Tashkent’s healthcare network.</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Surgeon</w:t>
      </w:r>
      <w:r>
        <w:t xml:space="preserve"> </w:t>
      </w:r>
      <w:r>
        <w:t xml:space="preserve">in Uzbekistan Tashkent transcends clinical expertise—it embodies the nation’s commitment to advancing public health equity and technological sovereignty. This comprehensive Research Proposal addresses an urgent, under-researched dimension of surgical care delivery within Uzbekistan’s urban healthcare landscape. By centering our investigation on Tashkent’s unique demographic, infrastructural, and cultural context, we will generate evidence that directly informs the development of a resilient surgical workforce capable of serving Uzbekistan’s growing population with excellence. As the capital city spearheads national healthcare transformation under President Shavkat Mirziyoyev’s vision for "Healthcare for All," this research represents not merely an academic exercise but a strategic investment in Uzbekistan Tashkent’s future health security and global standing in medical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Uzbekistan Tashkent</dc:title>
  <dc:creator/>
  <dc:language>en</dc:language>
  <cp:keywords/>
  <dcterms:created xsi:type="dcterms:W3CDTF">2025-12-09T21:21:58Z</dcterms:created>
  <dcterms:modified xsi:type="dcterms:W3CDTF">2025-12-09T21:21:58Z</dcterms:modified>
</cp:coreProperties>
</file>

<file path=docProps/custom.xml><?xml version="1.0" encoding="utf-8"?>
<Properties xmlns="http://schemas.openxmlformats.org/officeDocument/2006/custom-properties" xmlns:vt="http://schemas.openxmlformats.org/officeDocument/2006/docPropsVTypes"/>
</file>