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Tailoring</w:t>
      </w:r>
      <w:r>
        <w:t xml:space="preserve"> </w:t>
      </w:r>
      <w:r>
        <w:t xml:space="preserve">Business</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64dde0eb4df52be17e30b756f718df5fb0798c0"/>
    <w:p>
      <w:pPr>
        <w:pStyle w:val="Heading1"/>
      </w:pPr>
      <w:r>
        <w:t xml:space="preserve">Research Proposal: Strategic Development Framework for Sustainable Tailoring Enterprises in Iran Tehran</w:t>
      </w:r>
    </w:p>
    <w:p>
      <w:pPr>
        <w:pStyle w:val="FirstParagraph"/>
      </w:pPr>
      <w:r>
        <w:rPr>
          <w:bCs/>
          <w:b/>
        </w:rPr>
        <w:t xml:space="preserve">Submitted By:</w:t>
      </w:r>
      <w:r>
        <w:t xml:space="preserve"> </w:t>
      </w:r>
      <w:r>
        <w:t xml:space="preserve">International Business Research Consortium</w:t>
      </w:r>
      <w:r>
        <w:br/>
      </w:r>
      <w:r>
        <w:rPr>
          <w:bCs/>
          <w:b/>
        </w:rPr>
        <w:t xml:space="preserve">Date:</w:t>
      </w:r>
      <w:r>
        <w:t xml:space="preserve"> </w:t>
      </w:r>
      <w:r>
        <w:t xml:space="preserve">October 26, 2023</w:t>
      </w:r>
      <w:r>
        <w:br/>
      </w:r>
      <w:r>
        <w:rPr>
          <w:bCs/>
          <w:b/>
        </w:rPr>
        <w:t xml:space="preserve">Purpose:</w:t>
      </w:r>
      <w:r>
        <w:t xml:space="preserve"> </w:t>
      </w:r>
      <w:r>
        <w:t xml:space="preserve">This</w:t>
      </w:r>
      <w:r>
        <w:t xml:space="preserve"> </w:t>
      </w:r>
      <w:r>
        <w:rPr>
          <w:iCs/>
          <w:i/>
        </w:rPr>
        <w:t xml:space="preserve">Research Proposal</w:t>
      </w:r>
      <w:r>
        <w:t xml:space="preserve"> </w:t>
      </w:r>
      <w:r>
        <w:t xml:space="preserve">outlines a comprehensive study to investigate opportunities for modernizing traditional tailoring services within the cultural and economic landscape of Iran Tehran.</w:t>
      </w:r>
    </w:p>
    <w:bookmarkStart w:id="20" w:name="Xa8730d3e92ad87f5d56d09381fd70edbb7b67fe"/>
    <w:p>
      <w:pPr>
        <w:pStyle w:val="Heading2"/>
      </w:pPr>
      <w:r>
        <w:t xml:space="preserve">I. Introduction: The Tailor's Crossroads in Tehran</w:t>
      </w:r>
    </w:p>
    <w:p>
      <w:pPr>
        <w:pStyle w:val="FirstParagraph"/>
      </w:pPr>
      <w:r>
        <w:t xml:space="preserve">Tailoring has historically been a cornerstone of Iranian craftsmanship, deeply embedded in the cultural identity of cities like Tehran where intricate embroidery and bespoke garment creation have flourished for generations. However, contemporary challenges threaten this vital sector. Rising competition from mass-produced apparel, shifting consumer preferences toward fast fashion among youth demographics, and limited digital integration have created an urgent need for strategic innovation. This</w:t>
      </w:r>
      <w:r>
        <w:t xml:space="preserve"> </w:t>
      </w:r>
      <w:r>
        <w:rPr>
          <w:iCs/>
          <w:i/>
        </w:rPr>
        <w:t xml:space="preserve">Research Proposal</w:t>
      </w:r>
      <w:r>
        <w:t xml:space="preserve"> </w:t>
      </w:r>
      <w:r>
        <w:t xml:space="preserve">addresses the critical gap in understanding how traditional</w:t>
      </w:r>
      <w:r>
        <w:t xml:space="preserve"> </w:t>
      </w:r>
      <w:r>
        <w:rPr>
          <w:iCs/>
          <w:i/>
        </w:rPr>
        <w:t xml:space="preserve">Tailor</w:t>
      </w:r>
      <w:r>
        <w:t xml:space="preserve"> </w:t>
      </w:r>
      <w:r>
        <w:t xml:space="preserve">businesses can evolve while preserving cultural authenticity within Iran Tehran's unique socio-economic environment. The study will analyze market dynamics across Tehran's major commercial districts including Velenjak, Shahr-e-Rey, and Naser Khomeini Street—where over 3,000 registered tailoring workshops operate.</w:t>
      </w:r>
    </w:p>
    <w:bookmarkEnd w:id="20"/>
    <w:bookmarkStart w:id="21" w:name="ii.-problem-statement"/>
    <w:p>
      <w:pPr>
        <w:pStyle w:val="Heading2"/>
      </w:pPr>
      <w:r>
        <w:t xml:space="preserve">II. Problem Statement</w:t>
      </w:r>
    </w:p>
    <w:p>
      <w:pPr>
        <w:pStyle w:val="FirstParagraph"/>
      </w:pPr>
      <w:r>
        <w:t xml:space="preserve">Despite Tehran's status as Iran's cultural capital and the second-largest fashion hub in the Middle East after Dubai, its tailoring sector remains largely fragmented and under-digitized. A 2022 Ministry of Commerce report revealed that 68% of Tehran-based tailors operate without e-commerce capabilities, while 75% struggle to retain young apprentices due to perceived low profitability. This decline directly impacts Iran's cultural heritage preservation and contributes to a $147 million annual export gap in high-value bespoke textiles. The</w:t>
      </w:r>
      <w:r>
        <w:t xml:space="preserve"> </w:t>
      </w:r>
      <w:r>
        <w:rPr>
          <w:iCs/>
          <w:i/>
        </w:rPr>
        <w:t xml:space="preserve">Tailor</w:t>
      </w:r>
      <w:r>
        <w:t xml:space="preserve"> </w:t>
      </w:r>
      <w:r>
        <w:t xml:space="preserve">industry in Iran Tehran thus faces existential pressure: either modernize or risk becoming obsolete within 5-7 years.</w:t>
      </w:r>
    </w:p>
    <w:bookmarkEnd w:id="21"/>
    <w:bookmarkStart w:id="22" w:name="Xf1227f1a086672b0bc0abd51697d93cc7bc3f97"/>
    <w:p>
      <w:pPr>
        <w:pStyle w:val="Heading2"/>
      </w:pPr>
      <w:r>
        <w:t xml:space="preserve">III. Literature Review: Contextualizing Tailoring Innovation</w:t>
      </w:r>
    </w:p>
    <w:p>
      <w:pPr>
        <w:pStyle w:val="FirstParagraph"/>
      </w:pPr>
      <w:r>
        <w:t xml:space="preserve">Existing research focuses narrowly on Western fashion models, neglecting Middle Eastern contexts. While studies like Alavi (2019) document Tehran's historical tailoring guilds, and Karimzadeh's (2021) work on Persian embroidery sustainability offer partial insights, no comprehensive analysis exists regarding digital transformation strategies for Iranian artisanal tailors. Crucially, the interplay between Iran's specific regulatory environment—such as import restrictions on textile machinery and cultural norms around modest fashion—and tailoring business models remains unexplored. This</w:t>
      </w:r>
      <w:r>
        <w:t xml:space="preserve"> </w:t>
      </w:r>
      <w:r>
        <w:rPr>
          <w:iCs/>
          <w:i/>
        </w:rPr>
        <w:t xml:space="preserve">Research Proposal</w:t>
      </w:r>
      <w:r>
        <w:t xml:space="preserve"> </w:t>
      </w:r>
      <w:r>
        <w:t xml:space="preserve">bridges this gap by centering Tehran as the primary case study.</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Market Position:</w:t>
      </w:r>
      <w:r>
        <w:t xml:space="preserve"> </w:t>
      </w:r>
      <w:r>
        <w:t xml:space="preserve">Analyze consumer demographics (ages 18-45) across Tehran to identify demand patterns for customized versus ready-to-wear garments.</w:t>
      </w:r>
    </w:p>
    <w:p>
      <w:pPr>
        <w:numPr>
          <w:ilvl w:val="0"/>
          <w:numId w:val="1001"/>
        </w:numPr>
        <w:pStyle w:val="Compact"/>
      </w:pPr>
      <w:r>
        <w:rPr>
          <w:bCs/>
          <w:b/>
        </w:rPr>
        <w:t xml:space="preserve">Assess Digital Integration Barriers:</w:t>
      </w:r>
      <w:r>
        <w:t xml:space="preserve"> </w:t>
      </w:r>
      <w:r>
        <w:t xml:space="preserve">Map technological, financial, and cultural obstacles preventing tailors from adopting e-commerce platforms and CRM systems.</w:t>
      </w:r>
    </w:p>
    <w:p>
      <w:pPr>
        <w:numPr>
          <w:ilvl w:val="0"/>
          <w:numId w:val="1001"/>
        </w:numPr>
        <w:pStyle w:val="Compact"/>
      </w:pPr>
      <w:r>
        <w:rPr>
          <w:bCs/>
          <w:b/>
        </w:rPr>
        <w:t xml:space="preserve">Develop Sustainable Framework:</w:t>
      </w:r>
      <w:r>
        <w:t xml:space="preserve"> </w:t>
      </w:r>
      <w:r>
        <w:t xml:space="preserve">Create a culturally adaptive business model that integrates traditional craftsmanship with digital tools for Iran Tehran's tailor enterprises.</w:t>
      </w:r>
    </w:p>
    <w:p>
      <w:pPr>
        <w:numPr>
          <w:ilvl w:val="0"/>
          <w:numId w:val="1001"/>
        </w:numPr>
        <w:pStyle w:val="Compact"/>
      </w:pPr>
      <w:r>
        <w:rPr>
          <w:bCs/>
          <w:b/>
        </w:rPr>
        <w:t xml:space="preserve">Cultural Impact Assessment:</w:t>
      </w:r>
      <w:r>
        <w:t xml:space="preserve"> </w:t>
      </w:r>
      <w:r>
        <w:t xml:space="preserve">Measure how modernization strategies affect preservation of Iran's textile heritage (e.g., Golestan embroidery, Kashan patterns).</w:t>
      </w:r>
    </w:p>
    <w:bookmarkEnd w:id="23"/>
    <w:bookmarkStart w:id="24" w:name="v.-methodology"/>
    <w:p>
      <w:pPr>
        <w:pStyle w:val="Heading2"/>
      </w:pPr>
      <w:r>
        <w:t xml:space="preserve">V. Methodology</w:t>
      </w:r>
    </w:p>
    <w:p>
      <w:pPr>
        <w:pStyle w:val="FirstParagraph"/>
      </w:pPr>
      <w:r>
        <w:t xml:space="preserve">This mixed-methods study employs three interconnected phases over 14 months:</w:t>
      </w:r>
    </w:p>
    <w:p>
      <w:pPr>
        <w:numPr>
          <w:ilvl w:val="0"/>
          <w:numId w:val="1002"/>
        </w:numPr>
        <w:pStyle w:val="Compact"/>
      </w:pPr>
      <w:r>
        <w:rPr>
          <w:bCs/>
          <w:b/>
        </w:rPr>
        <w:t xml:space="preserve">Phase 1 (Months 1-4):</w:t>
      </w:r>
      <w:r>
        <w:t xml:space="preserve"> </w:t>
      </w:r>
      <w:r>
        <w:t xml:space="preserve">Quantitative survey of 500+ tailors across Tehran's districts using stratified random sampling. Primary metrics include revenue trends, digital adoption rates, and apprentice retention.</w:t>
      </w:r>
    </w:p>
    <w:p>
      <w:pPr>
        <w:numPr>
          <w:ilvl w:val="0"/>
          <w:numId w:val="1002"/>
        </w:numPr>
        <w:pStyle w:val="Compact"/>
      </w:pPr>
      <w:r>
        <w:rPr>
          <w:bCs/>
          <w:b/>
        </w:rPr>
        <w:t xml:space="preserve">Phase 2 (Months 5-8):</w:t>
      </w:r>
      <w:r>
        <w:t xml:space="preserve"> </w:t>
      </w:r>
      <w:r>
        <w:t xml:space="preserve">Qualitative focus groups with 45 key stakeholders: Tehran Chamber of Commerce representatives, cultural heritage experts from Tehran Museum of Contemporary Art, and consumer panels (n=120) in districts like Shemiran and Karaj.</w:t>
      </w:r>
    </w:p>
    <w:p>
      <w:pPr>
        <w:numPr>
          <w:ilvl w:val="0"/>
          <w:numId w:val="1002"/>
        </w:numPr>
        <w:pStyle w:val="Compact"/>
      </w:pPr>
      <w:r>
        <w:rPr>
          <w:bCs/>
          <w:b/>
        </w:rPr>
        <w:t xml:space="preserve">Phase 3 (Months 9-14):</w:t>
      </w:r>
      <w:r>
        <w:t xml:space="preserve"> </w:t>
      </w:r>
      <w:r>
        <w:t xml:space="preserve">Pilot implementation with 50 selected tailors. The team will deploy tailored digital solutions (customized WhatsApp business tools, QR-based pattern catalogues) while monitoring KPIs like customer acquisition cost and order fulfillment time.</w:t>
      </w:r>
    </w:p>
    <w:p>
      <w:pPr>
        <w:pStyle w:val="FirstParagraph"/>
      </w:pPr>
      <w:r>
        <w:t xml:space="preserve">All data collection adheres to Iran's National Ethical Research Guidelines. Partnering with Tehran University of Art's Department of Textile Design ensures cultural sensitivity in methodology development.</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validated business model template for Tehran tailors, including low-cost digital integration pathways adaptable to Iran's economic constraints.</w:t>
      </w:r>
    </w:p>
    <w:p>
      <w:pPr>
        <w:numPr>
          <w:ilvl w:val="0"/>
          <w:numId w:val="1003"/>
        </w:numPr>
        <w:pStyle w:val="Compact"/>
      </w:pPr>
      <w:r>
        <w:t xml:space="preserve">A cultural preservation index measuring how modernization impacts traditional techniques (e.g., rate of hand-embroidery usage pre/post implementation).</w:t>
      </w:r>
    </w:p>
    <w:p>
      <w:pPr>
        <w:numPr>
          <w:ilvl w:val="0"/>
          <w:numId w:val="1003"/>
        </w:numPr>
        <w:pStyle w:val="Compact"/>
      </w:pPr>
      <w:r>
        <w:t xml:space="preserve">Policy recommendations for Tehran Municipality regarding vocational training subsidies and export incentives for artisanal tailoring clusters.</w:t>
      </w:r>
    </w:p>
    <w:p>
      <w:pPr>
        <w:pStyle w:val="FirstParagraph"/>
      </w:pPr>
      <w:r>
        <w:t xml:space="preserve">The significance extends beyond commerce: By preserving Iran's textile heritage through this research, the project actively supports UNESCO's Safeguarding Intangible Cultural Heritage initiative. For Tehran specifically, successful implementation could revitalize 25% of currently underutilized tailoring workshops while generating an estimated 12,000 new skilled jobs by 2030.</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Market Assessment &amp; Survey Design</w:t>
            </w:r>
          </w:p>
        </w:tc>
        <w:tc>
          <w:tcPr/>
          <w:p>
            <w:pPr>
              <w:pStyle w:val="Compact"/>
              <w:jc w:val="left"/>
            </w:pPr>
            <w:r>
              <w:t xml:space="preserve">Months 1-3</w:t>
            </w:r>
          </w:p>
        </w:tc>
        <w:tc>
          <w:tcPr/>
          <w:p>
            <w:pPr>
              <w:pStyle w:val="Compact"/>
              <w:jc w:val="left"/>
            </w:pPr>
            <w:r>
              <w:t xml:space="preserve">Survey instruments, sampling framework</w:t>
            </w:r>
          </w:p>
        </w:tc>
        <w:tc>
          <w:tcPr/>
          <w:p>
            <w:pPr>
              <w:pStyle w:val="Compact"/>
              <w:jc w:val="left"/>
            </w:pPr>
            <w:r>
              <w:t xml:space="preserve">$18,500</w:t>
            </w:r>
          </w:p>
        </w:tc>
      </w:tr>
      <w:tr>
        <w:tc>
          <w:tcPr/>
          <w:p>
            <w:pPr>
              <w:pStyle w:val="Compact"/>
              <w:jc w:val="left"/>
            </w:pPr>
            <w:r>
              <w:t xml:space="preserve">Stakeholder Engagement &amp; Focus Groups</w:t>
            </w:r>
          </w:p>
        </w:tc>
        <w:tc>
          <w:tcPr/>
          <w:p>
            <w:pPr>
              <w:pStyle w:val="Compact"/>
              <w:jc w:val="left"/>
            </w:pPr>
            <w:r>
              <w:t xml:space="preserve">Months 4-7</w:t>
            </w:r>
          </w:p>
        </w:tc>
        <w:tc>
          <w:tcPr/>
          <w:p>
            <w:pPr>
              <w:pStyle w:val="Compact"/>
              <w:jc w:val="left"/>
            </w:pPr>
            <w:r>
              <w:t xml:space="preserve">Cultural impact report, barrier analysis document</w:t>
            </w:r>
          </w:p>
        </w:tc>
        <w:tc>
          <w:tcPr/>
          <w:p>
            <w:pPr>
              <w:pStyle w:val="Compact"/>
              <w:jc w:val="left"/>
            </w:pPr>
            <w:r>
              <w:t xml:space="preserve">$24,700</w:t>
            </w:r>
          </w:p>
        </w:tc>
      </w:tr>
      <w:tr>
        <w:tc>
          <w:tcPr/>
          <w:p>
            <w:pPr>
              <w:pStyle w:val="Compact"/>
              <w:jc w:val="left"/>
            </w:pPr>
            <w:r>
              <w:t xml:space="preserve">Pilot Implementation &amp; Data Analysis</w:t>
            </w:r>
          </w:p>
        </w:tc>
        <w:tc>
          <w:tcPr/>
          <w:p>
            <w:pPr>
              <w:pStyle w:val="Compact"/>
              <w:jc w:val="left"/>
            </w:pPr>
            <w:r>
              <w:t xml:space="preserve">Months 8-13</w:t>
            </w:r>
          </w:p>
        </w:tc>
        <w:tc>
          <w:tcPr/>
          <w:p>
            <w:pPr>
              <w:pStyle w:val="Compact"/>
              <w:jc w:val="left"/>
            </w:pPr>
            <w:r>
              <w:t xml:space="preserve">Business model framework, KPI dashboard templates</w:t>
            </w:r>
          </w:p>
        </w:tc>
        <w:tc>
          <w:tcPr/>
          <w:p>
            <w:pPr>
              <w:pStyle w:val="Compact"/>
              <w:jc w:val="left"/>
            </w:pPr>
            <w:r>
              <w:t xml:space="preserve">$38,900</w:t>
            </w:r>
          </w:p>
        </w:tc>
      </w:tr>
      <w:tr>
        <w:tc>
          <w:tcPr>
            <w:gridSpan w:val="2"/>
          </w:tcPr>
          <w:p>
            <w:pPr>
              <w:pStyle w:val="Compact"/>
              <w:jc w:val="left"/>
            </w:pPr>
            <w:r>
              <w:t xml:space="preserve">Total Project Budget:</w:t>
            </w:r>
          </w:p>
        </w:tc>
        <w:tc>
          <w:tcPr/>
          <w:p>
            <w:pPr>
              <w:pStyle w:val="Compact"/>
              <w:jc w:val="left"/>
            </w:pPr>
            <w:r>
              <w:t xml:space="preserve">$82,100</w:t>
            </w:r>
          </w:p>
        </w:tc>
        <w:tc>
          <w:tcPr/>
          <w:p>
            <w:pPr>
              <w:pStyle w:val="Compact"/>
            </w:pPr>
          </w:p>
        </w:tc>
      </w:tr>
    </w:tbl>
    <w:bookmarkEnd w:id="26"/>
    <w:bookmarkStart w:id="27" w:name="X480a649ddb40eb938b387855eb396cebc6b9756"/>
    <w:p>
      <w:pPr>
        <w:pStyle w:val="Heading2"/>
      </w:pPr>
      <w:r>
        <w:t xml:space="preserve">VIII. Conclusion: Weaving Tradition into Tomorrow</w:t>
      </w:r>
    </w:p>
    <w:p>
      <w:pPr>
        <w:pStyle w:val="FirstParagraph"/>
      </w:pPr>
      <w:r>
        <w:t xml:space="preserve">The future of tailoring in Iran Tehran need not be a choice between tradition and modernity—it is an opportunity to create a new paradigm where cultural heritage becomes a competitive advantage. This</w:t>
      </w:r>
      <w:r>
        <w:t xml:space="preserve"> </w:t>
      </w:r>
      <w:r>
        <w:rPr>
          <w:iCs/>
          <w:i/>
        </w:rPr>
        <w:t xml:space="preserve">Research Proposal</w:t>
      </w:r>
      <w:r>
        <w:t xml:space="preserve"> </w:t>
      </w:r>
      <w:r>
        <w:t xml:space="preserve">provides the roadmap for transforming Iran's most emblematic craft sector into a sustainable economic engine. By centering the unique needs of Tehran's tailors within global innovation frameworks, we position this industry not merely as survivors of change but as architects of Iran's cultural and economic renaissance. The outcome will be more than business insights: it will preserve the stitches that weave Tehran's identity into its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Tailoring Business Development in Iran Tehran</dc:title>
  <dc:creator/>
  <dc:language>en</dc:language>
  <cp:keywords/>
  <dcterms:created xsi:type="dcterms:W3CDTF">2025-12-09T03:57:26Z</dcterms:created>
  <dcterms:modified xsi:type="dcterms:W3CDTF">2025-12-09T03:57:26Z</dcterms:modified>
</cp:coreProperties>
</file>

<file path=docProps/custom.xml><?xml version="1.0" encoding="utf-8"?>
<Properties xmlns="http://schemas.openxmlformats.org/officeDocument/2006/custom-properties" xmlns:vt="http://schemas.openxmlformats.org/officeDocument/2006/docPropsVTypes"/>
</file>